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b/>
          <w:bCs/>
          <w:iCs/>
          <w:sz w:val="24"/>
          <w:szCs w:val="24"/>
        </w:rPr>
        <w:t>С Ъ Д Ъ Р Ж А Н И Е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EE0E3C" w:rsidRPr="00EE0E3C" w:rsidRDefault="00EE0E3C" w:rsidP="00EE0E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b/>
          <w:bCs/>
          <w:iCs/>
          <w:sz w:val="24"/>
          <w:szCs w:val="24"/>
        </w:rPr>
        <w:t>ЧЕЛЕН ЛИСТ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EE0E3C" w:rsidRPr="00EE0E3C" w:rsidRDefault="00EE0E3C" w:rsidP="00EE0E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b/>
          <w:bCs/>
          <w:iCs/>
          <w:sz w:val="24"/>
          <w:szCs w:val="24"/>
        </w:rPr>
        <w:t>СЪДЪРЖАНИЕ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iCs/>
          <w:sz w:val="24"/>
          <w:szCs w:val="24"/>
        </w:rPr>
        <w:t>3. ОБЯСНИТЕЛНА ЗАПИСКА ПОЖАРНА БЕЗОПАСНОСТ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3.1. ОБЩА ЧАСТ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3.2. ПАСИВНИ МЕРКИ ЗА ПОЖАРНА БЕЗОПАСНОСТ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Клас на функционална пожарна опасност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Категория на пожарна опасност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Степен на огнеустойчивост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Огнезащита на стоманена конструкция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Клас по реакция на огън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Пожарни сектори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Пътища за пожарогасителна и аварийно спасителна дейност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Стълби за пожарогасителни и аварийно спасителни дейности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Евакуационни изходи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Евакуационни пътища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Евакуационни стълбища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Време за евакуация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Евакуационно осветление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Вентилационни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Отоплителни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Електрически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3.3.АКТИВНИ МЕРКИ ЗА ПОЖАРНА БЕЗОПАСНОСТ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Пожарогасителни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Пожароизвестителни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Оповестителни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Димо-топлоотвеждащи инсталации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Външно противопожарно водоснабдяване</w:t>
      </w:r>
    </w:p>
    <w:p w:rsidR="00EE0E3C" w:rsidRPr="00EE0E3C" w:rsidRDefault="00EE0E3C" w:rsidP="00EE0E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Вътрешно противопожарно водоснабдяване</w:t>
      </w:r>
    </w:p>
    <w:p w:rsidR="00EE0E3C" w:rsidRPr="00EE0E3C" w:rsidRDefault="00EE0E3C" w:rsidP="00EE0E3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sz w:val="24"/>
          <w:szCs w:val="24"/>
        </w:rPr>
        <w:t>Преносими уреди и съоръжения за първоначално пожарогасене</w:t>
      </w:r>
    </w:p>
    <w:p w:rsidR="00EE0E3C" w:rsidRPr="00EE0E3C" w:rsidRDefault="00EE0E3C" w:rsidP="00EE0E3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EE0E3C">
        <w:rPr>
          <w:rFonts w:ascii="Times New Roman" w:hAnsi="Times New Roman" w:cs="Times New Roman"/>
          <w:sz w:val="24"/>
          <w:szCs w:val="24"/>
        </w:rPr>
        <w:t>.4. ЗАКЛЮЧЕНИ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:rsidR="00EE0E3C" w:rsidRPr="00EE0E3C" w:rsidRDefault="00EE0E3C" w:rsidP="00EE0E3C">
      <w:pPr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3.5. ГРАФИЧНА ЧАСТ</w:t>
      </w:r>
    </w:p>
    <w:p w:rsidR="00EE0E3C" w:rsidRPr="00EE0E3C" w:rsidRDefault="00EE0E3C" w:rsidP="00EE0E3C">
      <w:pPr>
        <w:rPr>
          <w:rFonts w:ascii="Times New Roman" w:hAnsi="Times New Roman" w:cs="Times New Roman"/>
          <w:color w:val="7030A0"/>
          <w:sz w:val="24"/>
          <w:szCs w:val="24"/>
        </w:rPr>
      </w:pPr>
    </w:p>
    <w:p w:rsidR="00EE0E3C" w:rsidRPr="00EE0E3C" w:rsidRDefault="00EE0E3C" w:rsidP="00EE0E3C">
      <w:pPr>
        <w:rPr>
          <w:rFonts w:ascii="Times New Roman" w:hAnsi="Times New Roman" w:cs="Times New Roman"/>
          <w:color w:val="7030A0"/>
          <w:sz w:val="24"/>
          <w:szCs w:val="24"/>
        </w:rPr>
      </w:pPr>
    </w:p>
    <w:p w:rsidR="00EE0E3C" w:rsidRPr="00EE0E3C" w:rsidRDefault="00EE0E3C" w:rsidP="00EE0E3C">
      <w:pPr>
        <w:rPr>
          <w:rFonts w:ascii="Times New Roman" w:hAnsi="Times New Roman" w:cs="Times New Roman"/>
          <w:color w:val="7030A0"/>
          <w:sz w:val="24"/>
          <w:szCs w:val="24"/>
        </w:rPr>
      </w:pPr>
    </w:p>
    <w:p w:rsidR="00EE0E3C" w:rsidRPr="00EE0E3C" w:rsidRDefault="00EE0E3C" w:rsidP="00EE0E3C">
      <w:pPr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  <w:t xml:space="preserve">     </w:t>
      </w:r>
      <w:r w:rsidRPr="00EE0E3C">
        <w:rPr>
          <w:rFonts w:ascii="Times New Roman" w:hAnsi="Times New Roman" w:cs="Times New Roman"/>
          <w:color w:val="7030A0"/>
          <w:sz w:val="24"/>
          <w:szCs w:val="24"/>
        </w:rPr>
        <w:tab/>
      </w:r>
    </w:p>
    <w:p w:rsidR="00EE0E3C" w:rsidRPr="00EE0E3C" w:rsidRDefault="00EE0E3C" w:rsidP="00EE0E3C">
      <w:pPr>
        <w:rPr>
          <w:rFonts w:ascii="Times New Roman" w:hAnsi="Times New Roman" w:cs="Times New Roman"/>
          <w:color w:val="7030A0"/>
          <w:sz w:val="24"/>
          <w:szCs w:val="24"/>
        </w:rPr>
      </w:pPr>
    </w:p>
    <w:p w:rsidR="00DE4818" w:rsidRDefault="00DE4818" w:rsidP="00DE4818">
      <w:pPr>
        <w:autoSpaceDE w:val="0"/>
        <w:autoSpaceDN w:val="0"/>
        <w:adjustRightInd w:val="0"/>
        <w:ind w:left="2160" w:hanging="2160"/>
        <w:rPr>
          <w:rFonts w:ascii="Arial" w:hAnsi="Arial" w:cs="Arial"/>
          <w:b/>
          <w:bCs/>
          <w:sz w:val="24"/>
          <w:lang w:bidi="bg-BG"/>
        </w:rPr>
      </w:pPr>
      <w:r>
        <w:rPr>
          <w:rFonts w:ascii="Arial" w:hAnsi="Arial" w:cs="Arial"/>
          <w:b/>
          <w:sz w:val="24"/>
        </w:rPr>
        <w:t>ОБЕКТ:</w:t>
      </w:r>
      <w:r w:rsidRPr="00942266">
        <w:rPr>
          <w:rFonts w:ascii="Arial" w:hAnsi="Arial" w:cs="Arial"/>
          <w:b/>
          <w:sz w:val="24"/>
        </w:rPr>
        <w:t xml:space="preserve">     </w:t>
      </w:r>
      <w:r>
        <w:rPr>
          <w:rFonts w:ascii="Arial" w:hAnsi="Arial" w:cs="Arial"/>
          <w:b/>
          <w:sz w:val="24"/>
        </w:rPr>
        <w:t xml:space="preserve">  </w:t>
      </w:r>
      <w:r>
        <w:rPr>
          <w:rFonts w:ascii="Arial" w:hAnsi="Arial" w:cs="Arial"/>
          <w:b/>
          <w:sz w:val="24"/>
        </w:rPr>
        <w:tab/>
      </w:r>
      <w:r w:rsidRPr="0072667F">
        <w:rPr>
          <w:rFonts w:ascii="Arial" w:hAnsi="Arial" w:cs="Arial"/>
          <w:b/>
          <w:bCs/>
          <w:sz w:val="24"/>
        </w:rPr>
        <w:t>„Многофамилна жилищна сграда с административен адрес гр. Смолян, община Смолян, жк. Нов Център, ул. „Арх. Петър Петров" № 7, бл. № 44"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ind w:left="2160" w:hanging="744"/>
        <w:rPr>
          <w:rFonts w:ascii="Arial" w:hAnsi="Arial" w:cs="Arial"/>
          <w:b/>
          <w:bCs/>
          <w:sz w:val="24"/>
          <w:lang w:bidi="bg-BG"/>
        </w:rPr>
      </w:pPr>
      <w:r>
        <w:rPr>
          <w:rFonts w:ascii="Arial" w:hAnsi="Arial" w:cs="Arial"/>
          <w:b/>
          <w:bCs/>
          <w:sz w:val="24"/>
          <w:lang w:bidi="bg-BG"/>
        </w:rPr>
        <w:t xml:space="preserve">           </w:t>
      </w:r>
      <w:r w:rsidRPr="00A70E0F">
        <w:rPr>
          <w:rFonts w:ascii="Arial" w:hAnsi="Arial" w:cs="Arial"/>
          <w:b/>
          <w:sz w:val="24"/>
        </w:rPr>
        <w:t xml:space="preserve">Многофамилната жилищна сграда се реализира в рамките на </w:t>
      </w:r>
    </w:p>
    <w:p w:rsidR="00DE4818" w:rsidRDefault="00DE4818" w:rsidP="00DE48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 xml:space="preserve">                                 </w:t>
      </w:r>
      <w:r w:rsidRPr="00A70E0F">
        <w:rPr>
          <w:rFonts w:ascii="Arial" w:hAnsi="Arial" w:cs="Arial"/>
          <w:b/>
          <w:sz w:val="24"/>
        </w:rPr>
        <w:t xml:space="preserve">Националната програма за енергийна ефективност на </w:t>
      </w:r>
    </w:p>
    <w:p w:rsidR="00DE4818" w:rsidRPr="00A70E0F" w:rsidRDefault="00DE4818" w:rsidP="00DE481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 xml:space="preserve">                                 </w:t>
      </w:r>
      <w:r w:rsidRPr="00A70E0F">
        <w:rPr>
          <w:rFonts w:ascii="Arial" w:hAnsi="Arial" w:cs="Arial"/>
          <w:b/>
          <w:sz w:val="24"/>
        </w:rPr>
        <w:t>многофамилните жилищни сгради</w:t>
      </w:r>
    </w:p>
    <w:p w:rsidR="00DE4818" w:rsidRDefault="00DE4818" w:rsidP="00DE4818">
      <w:pPr>
        <w:autoSpaceDE w:val="0"/>
        <w:autoSpaceDN w:val="0"/>
        <w:adjustRightInd w:val="0"/>
        <w:rPr>
          <w:rFonts w:ascii="Arial" w:hAnsi="Arial" w:cs="Arial"/>
          <w:b/>
          <w:sz w:val="24"/>
        </w:rPr>
      </w:pPr>
    </w:p>
    <w:p w:rsidR="00DE4818" w:rsidRPr="0072667F" w:rsidRDefault="00DE4818" w:rsidP="00DE4818">
      <w:pPr>
        <w:autoSpaceDE w:val="0"/>
        <w:autoSpaceDN w:val="0"/>
        <w:adjustRightInd w:val="0"/>
        <w:rPr>
          <w:rFonts w:ascii="Arial" w:hAnsi="Arial" w:cs="Arial"/>
          <w:b/>
          <w:sz w:val="24"/>
        </w:rPr>
      </w:pPr>
      <w:r w:rsidRPr="005B3751">
        <w:rPr>
          <w:rFonts w:ascii="Arial" w:hAnsi="Arial" w:cs="Arial"/>
          <w:b/>
          <w:sz w:val="24"/>
        </w:rPr>
        <w:t>ВЪЗЛОЖИТЕЛ</w:t>
      </w:r>
      <w:r w:rsidRPr="00876DBD">
        <w:rPr>
          <w:rFonts w:ascii="Arial" w:hAnsi="Arial" w:cs="Arial"/>
          <w:b/>
          <w:sz w:val="24"/>
        </w:rPr>
        <w:t xml:space="preserve">:     </w:t>
      </w:r>
      <w:r w:rsidRPr="00255128">
        <w:rPr>
          <w:rFonts w:ascii="Arial" w:hAnsi="Arial" w:cs="Arial"/>
          <w:b/>
          <w:sz w:val="24"/>
        </w:rPr>
        <w:t xml:space="preserve">ОБЩИНА </w:t>
      </w:r>
      <w:r>
        <w:rPr>
          <w:rFonts w:ascii="Arial" w:hAnsi="Arial" w:cs="Arial"/>
          <w:b/>
          <w:sz w:val="24"/>
        </w:rPr>
        <w:t>СМОЛЯН</w:t>
      </w:r>
    </w:p>
    <w:p w:rsidR="00DE4818" w:rsidRPr="004730B0" w:rsidRDefault="00DE4818" w:rsidP="00DE4818">
      <w:pPr>
        <w:autoSpaceDE w:val="0"/>
        <w:autoSpaceDN w:val="0"/>
        <w:adjustRightInd w:val="0"/>
        <w:ind w:left="2124" w:hanging="2124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СОБСТВЕНИК:</w:t>
      </w:r>
      <w:r>
        <w:rPr>
          <w:rFonts w:ascii="Arial" w:hAnsi="Arial" w:cs="Arial"/>
          <w:b/>
          <w:sz w:val="24"/>
        </w:rPr>
        <w:tab/>
      </w:r>
      <w:r w:rsidRPr="0072667F">
        <w:rPr>
          <w:rFonts w:ascii="Arial" w:hAnsi="Arial" w:cs="Arial"/>
          <w:b/>
          <w:sz w:val="24"/>
        </w:rPr>
        <w:t xml:space="preserve">Сдружение на собствениците „ГР. СМОЛЯН, УЛ. АРХ. ПЕТЪР </w:t>
      </w:r>
      <w:r>
        <w:rPr>
          <w:rFonts w:ascii="Arial" w:hAnsi="Arial" w:cs="Arial"/>
          <w:b/>
          <w:sz w:val="24"/>
        </w:rPr>
        <w:t xml:space="preserve">  </w:t>
      </w:r>
      <w:r w:rsidRPr="0072667F">
        <w:rPr>
          <w:rFonts w:ascii="Arial" w:hAnsi="Arial" w:cs="Arial"/>
          <w:b/>
          <w:sz w:val="24"/>
        </w:rPr>
        <w:t>ПЕТРОВ № 7, БЛОК 44"</w:t>
      </w:r>
    </w:p>
    <w:p w:rsidR="00DE4818" w:rsidRPr="000E009E" w:rsidRDefault="00DE4818" w:rsidP="00DE4818">
      <w:pPr>
        <w:autoSpaceDE w:val="0"/>
        <w:autoSpaceDN w:val="0"/>
        <w:adjustRightInd w:val="0"/>
        <w:rPr>
          <w:rFonts w:ascii="Arial" w:hAnsi="Arial" w:cs="Arial"/>
          <w:b/>
          <w:sz w:val="24"/>
        </w:rPr>
      </w:pPr>
    </w:p>
    <w:p w:rsidR="00EE0E3C" w:rsidRPr="00EE0E3C" w:rsidRDefault="00EE0E3C" w:rsidP="00EE0E3C">
      <w:pPr>
        <w:spacing w:after="100"/>
        <w:rPr>
          <w:rFonts w:ascii="Times New Roman" w:eastAsia="Calibri" w:hAnsi="Times New Roman" w:cs="Times New Roman"/>
          <w:b/>
          <w:sz w:val="24"/>
          <w:szCs w:val="24"/>
        </w:rPr>
      </w:pPr>
      <w:r w:rsidRPr="00EE0E3C">
        <w:rPr>
          <w:rFonts w:ascii="Times New Roman" w:eastAsia="Calibri" w:hAnsi="Times New Roman" w:cs="Times New Roman"/>
          <w:b/>
          <w:sz w:val="24"/>
          <w:szCs w:val="24"/>
        </w:rPr>
        <w:t>3. ОБЯСНИТЕЛНА ЗАПИСКА ПОЖАРНА БЕЗОПАСНОСТ</w:t>
      </w:r>
    </w:p>
    <w:p w:rsidR="00EE0E3C" w:rsidRPr="00EE0E3C" w:rsidRDefault="00EE0E3C" w:rsidP="00EE0E3C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0E3C">
        <w:rPr>
          <w:rFonts w:ascii="Times New Roman" w:eastAsia="Calibri" w:hAnsi="Times New Roman" w:cs="Times New Roman"/>
          <w:b/>
          <w:sz w:val="24"/>
          <w:szCs w:val="24"/>
        </w:rPr>
        <w:t>3.1. ОБЩА ЧАСТ</w:t>
      </w:r>
    </w:p>
    <w:p w:rsidR="00DE4818" w:rsidRPr="00DE4818" w:rsidRDefault="00EE0E3C" w:rsidP="00DE481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За изготвяне на разработката по част „Пожарна безопасност“ са използвани проекти по части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>Конструктивна, Архитектурна, Електротехническа,ОВКИ,ВК и Наредби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>І-1971 за строително-технически правила и норми за осигуряване на безопасност при пожар (изменение и допълнение).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ЦЕЛИ НА ПРОЕКТА</w:t>
      </w:r>
    </w:p>
    <w:p w:rsidR="00DE4818" w:rsidRPr="00DE4818" w:rsidRDefault="00DE4818" w:rsidP="007D18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Целта на проекта</w:t>
      </w:r>
      <w:r w:rsidRPr="00DE4818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 xml:space="preserve">е изработване на инвестиционен проект в работна фаза за изпълнение на мерки свързани с енергийното обновяване на </w:t>
      </w:r>
      <w:r w:rsidRPr="00DE481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„Многофамилна жилищна сграда с административен адрес гр. Смолян, община Смолян, жк. Нов Център, ул. „Арх. Петър Петров" № 7, бл. № 44"</w:t>
      </w:r>
    </w:p>
    <w:p w:rsidR="00DE4818" w:rsidRPr="00DE4818" w:rsidRDefault="00DE4818" w:rsidP="007D18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 xml:space="preserve">Чрез предвидените строително - монтажни  работи  ще се осигури икономия на енергия и топлосъхранение, безопасна експлоатация, хигиена, опазване здравето и живота на хората, и едновременно с това да подобри общия естетически вид на сградата. </w:t>
      </w:r>
    </w:p>
    <w:p w:rsidR="00DE4818" w:rsidRPr="00DE4818" w:rsidRDefault="00DE4818" w:rsidP="007D18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В проекта са заложени всички мерки описани в доклада от обследването на сградата, също и такива възникнали допълнително във времето след изготвяне на докладите.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СИТУАЦИЯ И ДОСТЪП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 xml:space="preserve">Многофамилната жилищна сграда е </w:t>
      </w:r>
      <w:r w:rsidRPr="00DE4818"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с идентификационен 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№ 67653.918.26, с адрес гр. Смолян, община Смолян, област Смолян, ж.к. Нов Център, ул. арх. Петър Петров № 7, бл. 44 е построена  през 1983 г. Сградата е свободно стояща. Общата застроена площ е 747,25 м</w:t>
      </w:r>
      <w:r w:rsidRPr="00DE4818">
        <w:rPr>
          <w:rFonts w:ascii="Times New Roman" w:hAnsi="Times New Roman" w:cs="Times New Roman"/>
          <w:bCs/>
          <w:sz w:val="24"/>
          <w:szCs w:val="24"/>
          <w:vertAlign w:val="superscript"/>
          <w:lang w:eastAsia="bg-BG" w:bidi="bg-BG"/>
        </w:rPr>
        <w:t>2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 xml:space="preserve"> с височна 14,30м. Сградата е общо 5 надземни етажа, един партерен и четири жилищни. Поради стъпаловидно оформения терен достъп до сградта е осигурен от 8 входа по 2 за всяка секция.  Като цяло блокът не осигурява в достатъчна степен, достъпна среда за хора със затруднено придвижване. Достъпът до входовете се осъществява със стъпала от кота терен. Към отделните стълбищни клетки и стъпала във входа липсват рампи или други средства за подход за инвалидни и детски колички.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lastRenderedPageBreak/>
        <w:t>АРХИТЕКТУРНО РЕШЕНИЕ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 xml:space="preserve">Многофамилната жилищна сграда, с административен адрес: 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гр. Смолян, община Смолян, област Смолян, ж.к. Нов Център, ул. арх. Петър Петров № 7, бл. 44, 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състояща се от четири жилищни секции, всяка с по два самостоятелни входа. Всеки вход е с по четири жилищни етажа, един партерен етаж и подпокривно пространство. Общият брой на апартаментите в блока е 39. Всяка секция е самостоятелна, разделена от съседната с дилатацибнна фуга, преминаваща и през основите. Строителната система е ППП. Входните площадки на входовете са достъпни през входни метални врати. Всеки вход е осигурен с вертикална комуникация от двураменна стълба.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Стълбщните клетки на всеки вход са разположени в средната ос на всяка от секциите. От входовете на всяка секция, с диференциални стъпала, се подхожда към жилищните етажи. През същите входове е осигурен и достъпът към партерния етаж на сградата, в който са обособени складовите помещения за апартаментите и общите сервизни помещения. Конструкцията на стълбищната клетка е двураменна с ширина 124 см. на всяко рамо, като стъпалата имат следните параметри - Н - 15.5 см., В - 30 см., за да се преодолее междуетажната височина от 2.80 см. Стълбището е с дървен парапет.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ЕЛЕМЕНТИ НА СГРАДАТА</w:t>
      </w:r>
    </w:p>
    <w:p w:rsidR="00DE4818" w:rsidRPr="00DE4818" w:rsidRDefault="00DE4818" w:rsidP="00DE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</w:pPr>
      <w:bookmarkStart w:id="0" w:name="bookmark54"/>
      <w:r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DE4818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Конструкция</w:t>
      </w:r>
      <w:bookmarkEnd w:id="0"/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bookmarkStart w:id="1" w:name="bookmark55"/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Конструкцията на всяка отделна секция представлява безгредова стоманобетонна конструкция. Елементите на носещата стоманобетонова конструкция са етажни плочи - стоманобетонови, монолитни, безгредови, с дебелина 20 см., монтажни стоманобетонни колони и стоманобетонови шайби в двете посоки на сградата - монолитни, с дебелина 25 см. Същите поемат хоризонталните усилия от земетръс в двете посоки на сградата. Фасадните стени са тухлени, неносещи с дебелина 25 см. Фундирането на сградата е плоско, осъществено чрез стоманобетонови монолитни единични фундаменти под колоните, стоманобетонови монолитни фундаменти под стоманобетоновите шайби и стоманобетонови монолитни ивични фундаменти под стените на сутерена. Вертикалните натоварвания и въздействия от собствено тегло и екплоатационен товар се предават от покривните и етажните плочи на стоманобетоновите колони и шайби, от тях на фундаментите, а от там и на земната основа. Антисеизмичната устойчивост се гарантира от вертикални носещи елементи - стоманобетонови шайби, разположени в направленията на сградата. Покривът е изпълнен като скатен.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Строителната система е „Пакето-повдигащи плочи" /ППП/. Носещатата конструкция е стоманобетонова, състояща се от следните елементи: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Етажни плочи - стоманобетонови, монолитни ,безгредови, с дебелина 20 см;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Колони - стоманобетонови, монтажни;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Стоманобетонови шайби в двете посоки на сградата - монолитни, с дебелина 25 см. Същите поемат хоризонталните усилия от земетръс в двете посоки на сградата;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Фасадни стени, неносещи - стоманобетонови тухлени, с вароциментово покритие, с дебелина 25 см.;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Вътрешни преградни стени, неносещи - тухлена зидария с дебелина 12 см.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Покривът е изпълнен като скатен. Няма хидроизолация. Налице са течове, конденз и мухъл в таванските помещения.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lastRenderedPageBreak/>
        <w:t>Комините не са в добро състояние. Има локални течове по фасадите, в следствие от отводнителната система. Тези дефекти, към момента, не нарушават целостта и носещата способност на главните носещи конструктивни елементи.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Балконите са в сравнително добро състояние. Парапетите на балконите са метални, покрити с дървен материал. Металните профили са корозирали и е необходима тяхната подмяна. По плочите на балконите има места, на които бетоновото покритие липсва и армировката е корозирала. Дървеният материал върху парапетите също е компрометиран и се нуждае от подмяна.</w:t>
      </w:r>
    </w:p>
    <w:p w:rsidR="00DE4818" w:rsidRPr="00DE4818" w:rsidRDefault="00DE4818" w:rsidP="00DE481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Партерен етаж - външни стени с дебелина 25 см. и вътрешни стени с дебелина 12 см.;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eastAsia="bg-BG" w:bidi="bg-BG"/>
        </w:rPr>
      </w:pPr>
    </w:p>
    <w:p w:rsidR="00DE4818" w:rsidRPr="00DE4818" w:rsidRDefault="00DE4818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2" w:name="bookmark59"/>
      <w:bookmarkEnd w:id="1"/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ИНСТАЛАЦИОННИ МРЕЖИ И СЪОРЪЖЕНИЯ</w:t>
      </w:r>
      <w:bookmarkEnd w:id="2"/>
    </w:p>
    <w:p w:rsidR="003F6F37" w:rsidRDefault="003F6F37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bookmarkStart w:id="3" w:name="bookmark4"/>
    </w:p>
    <w:p w:rsidR="00DE4818" w:rsidRPr="003F6F37" w:rsidRDefault="00DE4818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</w:pPr>
      <w:r w:rsidRPr="003F6F37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Водопроводна и канализационна инсталация:</w:t>
      </w:r>
      <w:bookmarkEnd w:id="3"/>
    </w:p>
    <w:p w:rsidR="00DE4818" w:rsidRPr="00DE4818" w:rsidRDefault="003F6F37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</w:pPr>
      <w:bookmarkStart w:id="4" w:name="bookmark5"/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bg-BG" w:bidi="bg-BG"/>
        </w:rPr>
        <w:t>-</w:t>
      </w:r>
      <w:r w:rsidR="00DE4818" w:rsidRPr="00DE4818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Външно захранване:</w:t>
      </w:r>
      <w:bookmarkEnd w:id="4"/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Сградата е захранена с вода от прилежащата улица с един брой сградно водопроводно отклонение, което се разклонява за всеки вход поотделно. Предполагаем диаметър на водопроводните отклонения 2". Монтираният водомер е с характеристичен разход З0мЗ/ч. Отпадните води от сградата се заустват в градската канализационна мрежа.</w:t>
      </w:r>
    </w:p>
    <w:p w:rsidR="00DE4818" w:rsidRPr="00DE4818" w:rsidRDefault="00DE4818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bookmarkStart w:id="5" w:name="bookmark6"/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Сградна инсталация:</w:t>
      </w:r>
      <w:bookmarkEnd w:id="5"/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В сградата е предвиден общ водомерен възел. В сградата няма предвидена инсталация за топла вода и осигуряването и става с апартаментни бойлери. Вертикалните тръби са скрито положени в шахти.</w:t>
      </w:r>
    </w:p>
    <w:p w:rsidR="00DE4818" w:rsidRPr="003F6F37" w:rsidRDefault="002F739D" w:rsidP="003F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</w:pPr>
      <w:bookmarkStart w:id="6" w:name="bookmark8"/>
      <w:r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-</w:t>
      </w:r>
      <w:r w:rsidR="00DE4818" w:rsidRPr="003F6F37">
        <w:rPr>
          <w:rFonts w:ascii="Times New Roman" w:hAnsi="Times New Roman" w:cs="Times New Roman"/>
          <w:b/>
          <w:bCs/>
          <w:sz w:val="24"/>
          <w:szCs w:val="24"/>
          <w:lang w:eastAsia="bg-BG" w:bidi="bg-BG"/>
        </w:rPr>
        <w:t>Електрическа инсталация:</w:t>
      </w:r>
      <w:bookmarkEnd w:id="6"/>
    </w:p>
    <w:p w:rsidR="00DE4818" w:rsidRPr="00DE4818" w:rsidRDefault="00DE4818" w:rsidP="002F73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Сградата е като трета категория потребител на електрическа енергия по осигуреност на електроснабдяването.</w:t>
      </w:r>
    </w:p>
    <w:p w:rsidR="00DE4818" w:rsidRPr="00DE4818" w:rsidRDefault="00DE4818" w:rsidP="002F73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Обектът е обследван по отношение на следните електрически силнотокови и с</w:t>
      </w:r>
      <w:bookmarkStart w:id="7" w:name="bookmark9"/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лаботокови инсталации и системи</w:t>
      </w:r>
    </w:p>
    <w:p w:rsidR="00DE4818" w:rsidRPr="00DE4818" w:rsidRDefault="002F739D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sz w:val="24"/>
          <w:szCs w:val="24"/>
          <w:lang w:eastAsia="bg-BG"/>
        </w:rPr>
        <w:t>-</w:t>
      </w:r>
      <w:r w:rsidR="00DE4818"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Главно разпределително табло (ГРТ) и главни захранващи</w:t>
      </w:r>
      <w:bookmarkStart w:id="8" w:name="bookmark10"/>
      <w:bookmarkEnd w:id="7"/>
      <w:r w:rsidR="00DE4818"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линии:</w:t>
      </w:r>
      <w:bookmarkEnd w:id="8"/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Жилищната сграда е захранена с трифазно напрежение 380/220V, от разпределителна касета на ЕРП, монтирана на фасадата на сградата. От разпределителна касета на ЕРП е изтеглен кабел СВБТ 3х35+16мм2, положен в земята и по външната стена до достигане на главното разпределително табло.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Във всеки вход има Главно Разпределително Табло/Тгл/. Монтирано е на стената входната площадка на партерно ниво и е метално. В ГРТ се намират електромерите за апартаментите в съответния вход.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Апартаментите се захранват с автоматични предпазители 63А. Електромерите са подменени с нови. .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В главното табло е монтиран стълбищен автомат. Приложена е TNC система със заземен звезден център за електрозахранване на консуматорите в сградата, двупроводна и четирипроводна. Нулевият проводник се използва и като предпазен. Захранващите линии на апартаментните табла са изпълнени с проводници ПКИ и ПВА1.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lastRenderedPageBreak/>
        <w:t>Апартаментните табла се захранват от главното с проводник ПВА1 2х6мм2 и ПКИ 2х6мм2. Таблата са за вграден монтаж от негоряща пластмаса с автоматични прекъсвачи и метални винтови предпазители.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</w:p>
    <w:p w:rsidR="00DE4818" w:rsidRPr="00DE4818" w:rsidRDefault="00DE4818" w:rsidP="007D18B0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Осветителна и силова инсталация: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Осветителните инсталации са изпълнени с проводници ПКИ, ПВ и ПВВМ 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>2x1,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5мм</w:t>
      </w:r>
      <w:r w:rsidRPr="00DE4818">
        <w:rPr>
          <w:rFonts w:ascii="Times New Roman" w:hAnsi="Times New Roman" w:cs="Times New Roman"/>
          <w:sz w:val="24"/>
          <w:szCs w:val="24"/>
          <w:vertAlign w:val="superscript"/>
          <w:lang w:eastAsia="bg-BG" w:bidi="bg-BG"/>
        </w:rPr>
        <w:t>2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, положен под мазилка. Осветеността на отделните помещения в сградата съответства на съвременната нормативна база.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Осветеността на общите части и стълбището в сградата е в окаяно състояние и не отговаря на съвременната нормативна база.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Осветлението на стълбището се включва от стълбищен автомат и бутони, монтирани на стълбищните площадки. Липсват осветителните тела в някои площадки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Осветлението на партерния етаж и тавана не е реконструирано и се използват проводници ПКИ 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 xml:space="preserve">2x1 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мм</w:t>
      </w:r>
      <w:r w:rsidRPr="00DE4818">
        <w:rPr>
          <w:rFonts w:ascii="Times New Roman" w:hAnsi="Times New Roman" w:cs="Times New Roman"/>
          <w:sz w:val="24"/>
          <w:szCs w:val="24"/>
          <w:vertAlign w:val="superscript"/>
          <w:lang w:eastAsia="bg-BG" w:bidi="bg-BG"/>
        </w:rPr>
        <w:t>2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, монтирани в черни и бели бергманови тръби.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В апартаментите, тавана и мазетата се използват обикновени, серийни и девиаторни ключове за скрит монтаж.</w:t>
      </w:r>
    </w:p>
    <w:p w:rsid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Контактната инсталация в апартаментите е изпълнена с проводници ПКИ, ПВ, ПВВМ 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>2x2,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5мм</w:t>
      </w:r>
      <w:r w:rsidRPr="00DE4818">
        <w:rPr>
          <w:rFonts w:ascii="Times New Roman" w:hAnsi="Times New Roman" w:cs="Times New Roman"/>
          <w:sz w:val="24"/>
          <w:szCs w:val="24"/>
          <w:vertAlign w:val="superscript"/>
          <w:lang w:eastAsia="bg-BG" w:bidi="bg-BG"/>
        </w:rPr>
        <w:t>2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 и ПВВМ 2х4мм</w:t>
      </w:r>
      <w:r w:rsidRPr="00DE4818">
        <w:rPr>
          <w:rFonts w:ascii="Times New Roman" w:hAnsi="Times New Roman" w:cs="Times New Roman"/>
          <w:sz w:val="24"/>
          <w:szCs w:val="24"/>
          <w:vertAlign w:val="superscript"/>
          <w:lang w:eastAsia="bg-BG" w:bidi="bg-BG"/>
        </w:rPr>
        <w:t>2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. Всички контакти са тип шуко и са занулени.</w:t>
      </w:r>
    </w:p>
    <w:p w:rsidR="007D18B0" w:rsidRPr="00DE4818" w:rsidRDefault="007D18B0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Мълниезащитна и заземителна инсталация: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Сградата няма изградена мълниезащитна инсталация.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Пожарна безопасност: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Няма дефектно-токова защита срещу индиректен допир и няма катодни отводители за предотвратяване на влизане на пренапрежения по електрическата инсталация. Няма съвременни автомати за защита срещу претоварване и късо съединение.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ЕСМ ПРЕДВИДЕНИ ЗА ОБЕКТА</w:t>
      </w:r>
    </w:p>
    <w:p w:rsidR="00DE4818" w:rsidRPr="00DE4818" w:rsidRDefault="00DE4818" w:rsidP="007D18B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Предвиджда се влагането на строителни продукти, чиито експлоатационни показатели по отношение на съществените им характеристики осигуряват изпълнението на изискванията към строежите съгласно чл. 169, ал. 1 ЗУТ и отговарят на техническите спецификации по смисъла на Наредбата за съществените изисквания към строежите и оценяване съответствието на строителните продукти, приета с Постановление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 xml:space="preserve"> №</w:t>
      </w:r>
      <w:r w:rsidRPr="00DE4818">
        <w:rPr>
          <w:rFonts w:ascii="Times New Roman" w:hAnsi="Times New Roman" w:cs="Times New Roman"/>
          <w:sz w:val="24"/>
          <w:szCs w:val="24"/>
          <w:lang w:eastAsia="bg-BG" w:bidi="en-US"/>
        </w:rPr>
        <w:t xml:space="preserve"> 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325 на Министерския съвет от 2006 г. (ДВ. бр. 106 от 2006 г.). съответно Регламент (ЕС) № 305/2011 на Европейския парламент и на Съвета за определяне на хармонизирани условия за предлагането на пазара на строителни продукти и за отмяна на Директива 89/106/ЕИО (ОВ на ЕС. 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 w:bidi="bg-BG"/>
        </w:rPr>
        <w:t>б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р. </w:t>
      </w:r>
      <w:r w:rsidRPr="00DE4818">
        <w:rPr>
          <w:rFonts w:ascii="Times New Roman" w:hAnsi="Times New Roman" w:cs="Times New Roman"/>
          <w:sz w:val="24"/>
          <w:szCs w:val="24"/>
          <w:lang w:eastAsia="bg-BG" w:bidi="en-US"/>
        </w:rPr>
        <w:t>L</w:t>
      </w:r>
      <w:r w:rsidRPr="00DE4818">
        <w:rPr>
          <w:rFonts w:ascii="Times New Roman" w:hAnsi="Times New Roman" w:cs="Times New Roman"/>
          <w:bCs/>
          <w:sz w:val="24"/>
          <w:szCs w:val="24"/>
          <w:lang w:eastAsia="bg-BG" w:bidi="en-US"/>
        </w:rPr>
        <w:t>88</w:t>
      </w:r>
      <w:r w:rsidRPr="00DE4818">
        <w:rPr>
          <w:rFonts w:ascii="Times New Roman" w:hAnsi="Times New Roman" w:cs="Times New Roman"/>
          <w:sz w:val="24"/>
          <w:szCs w:val="24"/>
          <w:lang w:eastAsia="bg-BG" w:bidi="en-US"/>
        </w:rPr>
        <w:t xml:space="preserve"> 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от 4.4.2011 г.).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</w:pPr>
      <w:r w:rsidRPr="00DE4818"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ЕСМ 1. Изолация на външни стени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Съществуващо положение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В основната си част външните стени на сградата не са топлоизолирани. Обобщеният им коефициент на топлопреминаване U = 1,28 W/m2K - значително надминава референтния за 2015 г. U = 0,28 W/m2K.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Описание на мярката и прогнозна цена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Мярката включва топлинно изолиране от външната страна на фасадните стени със интегрирана   топлоизолационна   система   от   фасадни   плочи   от   графитен   EPS /самозагасващ,  стабилизиран  фасаден  експандиран  полистирол/,  с  коефициент  на топлопроводност λ ≤ 0,031 W/mK с дебелина: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Мярката предвижда извършване на всички съпътстващи дейности, свързани с реализирането на топлинната изолация ЕРS: лепило, арм. мрежа, шпакловка, ъглови профили, крепежни елементи, грундиране и полагане на цветна екстериорна мазилка.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На страниците на прозорците ще бъде положена топлоизолационна система тип XPS, δ=2 cm, ширина 15 сm с коеф. на топлопроводност λ≤0,027 W/mK (вкл. лепило, арм. мрежа, шпакловка, ъглови профили, крепежни елементи, грундиране и полагане на цветна екстериорна мазилка)</w:t>
      </w:r>
    </w:p>
    <w:p w:rsid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Реализирането  на  мярката  ще  доведе  до  намаляване  на  коефициента  на топлопреминаване през външните стени от U = 1,28 W/m2K до U = 0,30 W/m2K</w:t>
      </w:r>
      <w:r w:rsidR="007D18B0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7D18B0" w:rsidRPr="00DE4818" w:rsidRDefault="007D18B0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en-US"/>
        </w:rPr>
      </w:pPr>
    </w:p>
    <w:p w:rsidR="00DE4818" w:rsidRPr="00DE4818" w:rsidRDefault="002F739D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ЕСМ 2</w:t>
      </w:r>
      <w:r w:rsidR="00DE4818" w:rsidRPr="00DE4818"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. Изолация на покрив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Предвижда се демонтаж на керемидите и изпълнение на върховото покривно покритие вместо керемиди с </w:t>
      </w: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покривна система с битумна хидроизолация от два пласта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, като втория е минерална, защитна посипка. С промяната на върховото покривно покритие да бъде изпълнено с рулонна битумна хидроизолация, ще се постигне качествено техническо решение за осигуряване водоплътността на покривната повърхнина и всички архитектурни елементи комини, отдушници, улами и др. Рулонните изолации от битум модифициран с (APP) имат повишена топлоустойчивост от 130-150 °С. Това тяхно свойство позволява да се изпълняват хидроизолации на покриви по вертикални и силно наклонени повърхности, без опасност от компрометирането им вследствие омекване и вискозно течение на битума от акумулираната топлина вследствие на слънчевата радиация. Т.е. (APP) модифицираните битумни хидроизолации намират най-широко приложение при направата на хидроизолационна система на плоски и скатни стоманобетонни покриви. Идеално решение за работа в горещи дни през летните месеци – минимален риск от стичане и омекване при работа –предимство пред всички останали битумни изолации. Стареенето на тези мушами се проявява три-четири пъти по-бавно в сравнение с мушамите от окислен битум.</w:t>
      </w:r>
    </w:p>
    <w:p w:rsidR="00DE4818" w:rsidRPr="00DE4818" w:rsidRDefault="00DE4818" w:rsidP="002F73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Вътрешна топлинна изолация на таванската плоча с екструдиран пенополистирол /XPS/ с дебелина 8 cm и коефициент на топлопроводност λ </w:t>
      </w:r>
      <w:r w:rsidRPr="00DE4818">
        <w:rPr>
          <w:rFonts w:ascii="Times New Roman" w:hAnsi="Times New Roman" w:cs="Times New Roman"/>
          <w:sz w:val="24"/>
          <w:szCs w:val="24"/>
          <w:lang w:eastAsia="bg-BG"/>
        </w:rPr>
        <w:t xml:space="preserve">≤ 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0,027 W/mK . Реализирането на мярката ще доведе до намаляване на коефициента на топлопреминаване през покрив от U = 1,38 W/m2K до U = 0,44 W/m2K</w:t>
      </w:r>
    </w:p>
    <w:p w:rsidR="00DE4818" w:rsidRPr="00DE4818" w:rsidRDefault="002F739D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ЕСМ 3</w:t>
      </w:r>
      <w:r w:rsidR="00DE4818" w:rsidRPr="00DE4818"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. Топлинно изолиране на пода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Полагане на топлоизолация от екструдиран пенополистирол с дебелина 6 см на подовата конструкция над неотопляем сутерен от страна на сутерена. Топлоизолацията ще е с коефициент на топлопроводност λ ≤ 0.027 W/m2K .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Топлоизолация със интегрирана топлоизолационна система от фасадни плочи от графитен EPS /самозагасващ, стабилизиран фасаден експандиран полистирол/, с коефициент на топлопроводност λ ≤ 0,031 W/mK с дебелина 8 cm на еркерни подове.</w:t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Реализирането на мярката ще доведе до намаляване на коефициента на топлопреминаване през пода от U = 1,36 W/m2K до U = 0,34 W/m2K</w:t>
      </w:r>
    </w:p>
    <w:p w:rsidR="00DE4818" w:rsidRPr="00DE4818" w:rsidRDefault="002F739D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ЕСМ 4</w:t>
      </w:r>
      <w:r w:rsidR="00DE4818" w:rsidRPr="00DE4818">
        <w:rPr>
          <w:rFonts w:ascii="Times New Roman" w:hAnsi="Times New Roman" w:cs="Times New Roman"/>
          <w:b/>
          <w:i/>
          <w:sz w:val="24"/>
          <w:szCs w:val="24"/>
          <w:u w:val="single"/>
          <w:lang w:eastAsia="bg-BG" w:bidi="bg-BG"/>
        </w:rPr>
        <w:t>. Мерки по осветление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Животът на светодиодите или времето им на експлоатация е от порядъка на 50000 до 100000 часа.  Това е несравнимо повече от живота на останалите видове светление – 3000 – 16000. LED осветлението е най-екологичния вид от използваните в момента. При производството и експлоатацията му не се използват и отделят никакви вредни </w:t>
      </w:r>
      <w:r w:rsidR="002F739D">
        <w:rPr>
          <w:rFonts w:ascii="Times New Roman" w:hAnsi="Times New Roman" w:cs="Times New Roman"/>
          <w:sz w:val="24"/>
          <w:szCs w:val="24"/>
          <w:lang w:eastAsia="bg-BG" w:bidi="bg-BG"/>
        </w:rPr>
        <w:t>в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 xml:space="preserve">ещества. LED осветителните тела се рециклират почти на 100% и не замърсяват околната среда след извеждането им от експлоатация. От друга страна, ниското енергопотребление позволява пестене на електричество и съответно, намаляване на изхвърляните в атмосферата CO2 и други вредни вещества при производството на електроенергия. Поради факта че LED технологията е ниско </w:t>
      </w: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lastRenderedPageBreak/>
        <w:t>волтова, тя е напълно безопасна за употреба. LED осветителните тела могат да се използват навсякъде, без притеснения от бъдещи опасности свързани с проблеми възникнали при тяхната екплоатация.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Предвижда се подмяна на стълбищното осветление /40 бр. осветителни тела/ с Плафони 2хЕ27 с вграден датчик за движение на 360 градуса и сензор за светлина и светодиодни 7W осветителни тела.</w:t>
      </w:r>
    </w:p>
    <w:p w:rsidR="00DE4818" w:rsidRPr="00DE4818" w:rsidRDefault="00DE4818" w:rsidP="007D18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 w:bidi="bg-BG"/>
        </w:rPr>
        <w:t>Реализирането на мярката ще доведе до икономия на електроенергия  от  920 кWh/y.</w:t>
      </w:r>
    </w:p>
    <w:p w:rsidR="002F739D" w:rsidRDefault="002F739D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 w:bidi="bg-BG"/>
        </w:rPr>
      </w:pP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/>
        </w:rPr>
        <w:t>ТОПЛОИЗОЛИРАНЕ</w:t>
      </w:r>
    </w:p>
    <w:p w:rsid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>Работите по поставяне на топлинна изолация по фасадите на сградата започват с издигането на фасадно скеле с необходимата височина, анкерирано към сградата в съответствие с действащите норми за безопасност. В последствие е необходимо да се направи оглед на състоянието на фасадната мазилка и в участъците с нарушена цялост или подкожушване на мазилката, същата следва да се отстрани и положи нова. Мазилката следва да се обезпраши след изсъхване и да се положи дълбокопроникващ грунд по цялата фасада. Полагането на топлоизолационните плочи се извършва чрез залепване със специализирано лепило за EPS и последващо дюбелиране. Полага се шпакловка със стъклофибърна мрежа, като по ъглите се залагат необходимите ъглови профили. След изсъхването на шпакловката се нанася грунд и впоследствие се полага силикатна структурна мазилка. По бордовете на покрива се монтират нови ламаринени обшивки.</w:t>
      </w:r>
    </w:p>
    <w:p w:rsidR="002F739D" w:rsidRPr="002F739D" w:rsidRDefault="002F739D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E4818" w:rsidRPr="002F739D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2F739D">
        <w:rPr>
          <w:rFonts w:ascii="Times New Roman" w:hAnsi="Times New Roman" w:cs="Times New Roman"/>
          <w:b/>
          <w:sz w:val="24"/>
          <w:szCs w:val="24"/>
          <w:lang w:eastAsia="bg-BG"/>
        </w:rPr>
        <w:t>Полага се  вертикална ивица с широчина 50см от каменна вата δ=10 см с λ ≤ 0,035 W/mK, целяща разделяне на топлоизолацията до 1000кв.м.</w:t>
      </w:r>
    </w:p>
    <w:p w:rsid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2F739D">
        <w:rPr>
          <w:rFonts w:ascii="Times New Roman" w:hAnsi="Times New Roman" w:cs="Times New Roman"/>
          <w:b/>
          <w:sz w:val="24"/>
          <w:szCs w:val="24"/>
          <w:lang w:eastAsia="bg-BG"/>
        </w:rPr>
        <w:t>На всеки два етажа се полага хоризонтална ивица от каменна вата δ=10 см с λ ≤ 0,035 W/mK с широчина 20см, започваща 30см над щурца, обрамчваща сградата.</w:t>
      </w:r>
    </w:p>
    <w:p w:rsidR="00D56792" w:rsidRDefault="00D56792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56792" w:rsidRPr="00D56792" w:rsidRDefault="00D56792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56792" w:rsidRPr="00DE4818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r w:rsidRPr="00DE4818">
        <w:rPr>
          <w:rFonts w:ascii="Times New Roman" w:hAnsi="Times New Roman" w:cs="Times New Roman"/>
          <w:b/>
          <w:sz w:val="24"/>
          <w:szCs w:val="24"/>
          <w:lang w:eastAsia="bg-BG" w:bidi="bg-BG"/>
        </w:rPr>
        <w:t>ТЕХНИЧЕСКИ ПАРАМЕТРИ</w:t>
      </w:r>
    </w:p>
    <w:p w:rsidR="00D56792" w:rsidRPr="00DE4818" w:rsidRDefault="00D56792" w:rsidP="00D567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7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8"/>
        <w:gridCol w:w="1728"/>
        <w:gridCol w:w="1730"/>
        <w:gridCol w:w="1706"/>
      </w:tblGrid>
      <w:tr w:rsidR="00D56792" w:rsidRPr="00BA5F3F" w:rsidTr="00BB747D">
        <w:trPr>
          <w:trHeight w:hRule="exact" w:val="562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Застроена площ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РЗП</w:t>
            </w:r>
          </w:p>
        </w:tc>
        <w:tc>
          <w:tcPr>
            <w:tcW w:w="1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Отопляема площ</w:t>
            </w:r>
          </w:p>
        </w:tc>
        <w:tc>
          <w:tcPr>
            <w:tcW w:w="1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Отопляем oбем</w:t>
            </w:r>
          </w:p>
        </w:tc>
      </w:tr>
      <w:tr w:rsidR="00D56792" w:rsidRPr="00BA5F3F" w:rsidTr="00BB747D">
        <w:trPr>
          <w:trHeight w:hRule="exact" w:val="286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m²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m²</w:t>
            </w:r>
          </w:p>
        </w:tc>
        <w:tc>
          <w:tcPr>
            <w:tcW w:w="1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m²</w:t>
            </w:r>
          </w:p>
        </w:tc>
        <w:tc>
          <w:tcPr>
            <w:tcW w:w="1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m³</w:t>
            </w:r>
          </w:p>
        </w:tc>
      </w:tr>
      <w:tr w:rsidR="00D56792" w:rsidRPr="00BA5F3F" w:rsidTr="00BB747D">
        <w:trPr>
          <w:trHeight w:hRule="exact" w:val="286"/>
        </w:trPr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680,08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4327,9</w:t>
            </w:r>
          </w:p>
        </w:tc>
        <w:tc>
          <w:tcPr>
            <w:tcW w:w="17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2836,8</w:t>
            </w:r>
          </w:p>
        </w:tc>
        <w:tc>
          <w:tcPr>
            <w:tcW w:w="1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56792" w:rsidRPr="00BA5F3F" w:rsidRDefault="00D56792" w:rsidP="00BB74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BA5F3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7999,78</w:t>
            </w:r>
          </w:p>
        </w:tc>
      </w:tr>
    </w:tbl>
    <w:p w:rsidR="00D56792" w:rsidRPr="007D18B0" w:rsidRDefault="00D56792" w:rsidP="00D567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  <w:lang w:eastAsia="bg-BG" w:bidi="bg-BG"/>
        </w:rPr>
      </w:pPr>
    </w:p>
    <w:p w:rsidR="00D56792" w:rsidRPr="00EE0E3C" w:rsidRDefault="00D56792" w:rsidP="00D5679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3.2</w:t>
      </w:r>
      <w:r w:rsidRPr="00EE0E3C">
        <w:rPr>
          <w:rFonts w:ascii="Times New Roman" w:hAnsi="Times New Roman" w:cs="Times New Roman"/>
          <w:sz w:val="24"/>
          <w:szCs w:val="24"/>
        </w:rPr>
        <w:t xml:space="preserve"> </w:t>
      </w:r>
      <w:r w:rsidRPr="00EE0E3C">
        <w:rPr>
          <w:rFonts w:ascii="Times New Roman" w:hAnsi="Times New Roman" w:cs="Times New Roman"/>
          <w:b/>
          <w:sz w:val="24"/>
          <w:szCs w:val="24"/>
        </w:rPr>
        <w:t>ПАСИВНИ МЕРКИ ЗА ПОЖАПНА БЕЗОПАСНОСТ</w:t>
      </w:r>
      <w:r w:rsidRPr="00EE0E3C">
        <w:rPr>
          <w:rFonts w:ascii="Times New Roman" w:hAnsi="Times New Roman" w:cs="Times New Roman"/>
          <w:b/>
          <w:sz w:val="24"/>
          <w:szCs w:val="24"/>
        </w:rPr>
        <w:tab/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Клас на функционална пожарна опасност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чл.8, ал.1 и табл.№1 от Наредбата,  строежа включващ</w:t>
      </w:r>
      <w:r w:rsidR="007D18B0" w:rsidRPr="007D18B0">
        <w:rPr>
          <w:rFonts w:ascii="Times New Roman" w:hAnsi="Times New Roman" w:cs="Times New Roman"/>
          <w:sz w:val="24"/>
          <w:szCs w:val="24"/>
        </w:rPr>
        <w:t xml:space="preserve"> Входове А, Б, В и Г</w:t>
      </w:r>
      <w:r w:rsidRPr="00EE0E3C">
        <w:rPr>
          <w:rFonts w:ascii="Times New Roman" w:hAnsi="Times New Roman" w:cs="Times New Roman"/>
          <w:sz w:val="24"/>
          <w:szCs w:val="24"/>
        </w:rPr>
        <w:t>, като същите се класифицират както следва: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-жилищна част са от клас на функционална пожарна опасност Ф1 и подклас Ф1.3;</w:t>
      </w:r>
    </w:p>
    <w:p w:rsidR="00D56792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-подземен етаж- мазе</w:t>
      </w:r>
      <w:r w:rsidR="00A87800">
        <w:rPr>
          <w:rFonts w:ascii="Times New Roman" w:hAnsi="Times New Roman" w:cs="Times New Roman"/>
          <w:sz w:val="24"/>
          <w:szCs w:val="24"/>
        </w:rPr>
        <w:t>та е от клас Ф5 и под клас Ф5.2;</w:t>
      </w:r>
    </w:p>
    <w:p w:rsidR="00A87800" w:rsidRPr="00EE0E3C" w:rsidRDefault="00A87800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-магазини във входове А (два броя) и Б (три броя) са от клас Ф3 и под клас Ф3.1.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Степен на огнеустойчивост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чл.12,ал.1 и табл.№3 от Наредбата, сградата е определена от ІІ- ра степен на огнеустойчивост.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89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2"/>
        <w:gridCol w:w="907"/>
        <w:gridCol w:w="1088"/>
        <w:gridCol w:w="907"/>
        <w:gridCol w:w="1269"/>
        <w:gridCol w:w="907"/>
        <w:gridCol w:w="907"/>
        <w:gridCol w:w="907"/>
        <w:gridCol w:w="907"/>
        <w:gridCol w:w="181"/>
        <w:gridCol w:w="907"/>
      </w:tblGrid>
      <w:tr w:rsidR="007D18B0" w:rsidRPr="007D18B0" w:rsidTr="00BB747D">
        <w:trPr>
          <w:trHeight w:hRule="exact" w:val="286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505" w:lineRule="auto"/>
              <w:ind w:left="112" w:right="108" w:hanging="1"/>
              <w:jc w:val="center"/>
              <w:rPr>
                <w:rFonts w:ascii="Times New Roman" w:hAnsi="Times New Roman"/>
              </w:rPr>
            </w:pPr>
            <w:r w:rsidRPr="00EE0E3C">
              <w:rPr>
                <w:rFonts w:ascii="Times New Roman" w:hAnsi="Times New Roman"/>
                <w:spacing w:val="-1"/>
              </w:rPr>
              <w:t>С</w:t>
            </w:r>
            <w:r w:rsidRPr="00EE0E3C">
              <w:rPr>
                <w:rFonts w:ascii="Times New Roman" w:hAnsi="Times New Roman"/>
              </w:rPr>
              <w:t>те</w:t>
            </w:r>
            <w:r w:rsidRPr="00EE0E3C">
              <w:rPr>
                <w:rFonts w:ascii="Times New Roman" w:hAnsi="Times New Roman"/>
                <w:spacing w:val="-1"/>
              </w:rPr>
              <w:t>п</w:t>
            </w:r>
            <w:r w:rsidRPr="00EE0E3C">
              <w:rPr>
                <w:rFonts w:ascii="Times New Roman" w:hAnsi="Times New Roman"/>
              </w:rPr>
              <w:t xml:space="preserve">ен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 о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</w:rPr>
              <w:t>сто</w:t>
            </w:r>
            <w:r w:rsidRPr="00EE0E3C">
              <w:rPr>
                <w:rFonts w:ascii="Times New Roman" w:hAnsi="Times New Roman"/>
                <w:spacing w:val="-1"/>
              </w:rPr>
              <w:t>й</w:t>
            </w:r>
            <w:r w:rsidRPr="00EE0E3C">
              <w:rPr>
                <w:rFonts w:ascii="Times New Roman" w:hAnsi="Times New Roman"/>
              </w:rPr>
              <w:t xml:space="preserve">- </w:t>
            </w:r>
            <w:r w:rsidRPr="00EE0E3C">
              <w:rPr>
                <w:rFonts w:ascii="Times New Roman" w:hAnsi="Times New Roman"/>
                <w:spacing w:val="-1"/>
              </w:rPr>
              <w:t>чив</w:t>
            </w:r>
            <w:r w:rsidRPr="00EE0E3C">
              <w:rPr>
                <w:rFonts w:ascii="Times New Roman" w:hAnsi="Times New Roman"/>
              </w:rPr>
              <w:t>ост</w:t>
            </w:r>
          </w:p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58" w:right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 xml:space="preserve"> </w:t>
            </w: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  <w:spacing w:val="-2"/>
              </w:rPr>
              <w:t>р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>д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те</w:t>
            </w:r>
          </w:p>
        </w:tc>
        <w:tc>
          <w:tcPr>
            <w:tcW w:w="8887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1"/>
              </w:rPr>
              <w:t>М</w:t>
            </w:r>
            <w:r w:rsidRPr="00EE0E3C">
              <w:rPr>
                <w:rFonts w:ascii="Times New Roman" w:hAnsi="Times New Roman"/>
                <w:spacing w:val="-1"/>
              </w:rPr>
              <w:t>ини</w:t>
            </w:r>
            <w:r w:rsidRPr="00EE0E3C">
              <w:rPr>
                <w:rFonts w:ascii="Times New Roman" w:hAnsi="Times New Roman"/>
              </w:rPr>
              <w:t>мал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 xml:space="preserve"> </w:t>
            </w:r>
            <w:r w:rsidRPr="00EE0E3C">
              <w:rPr>
                <w:rFonts w:ascii="Times New Roman" w:hAnsi="Times New Roman"/>
                <w:spacing w:val="-2"/>
              </w:rPr>
              <w:t>о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</w:rPr>
              <w:t>сто</w:t>
            </w:r>
            <w:r w:rsidRPr="00EE0E3C">
              <w:rPr>
                <w:rFonts w:ascii="Times New Roman" w:hAnsi="Times New Roman"/>
                <w:spacing w:val="-1"/>
              </w:rPr>
              <w:t>йчив</w:t>
            </w:r>
            <w:r w:rsidRPr="00EE0E3C">
              <w:rPr>
                <w:rFonts w:ascii="Times New Roman" w:hAnsi="Times New Roman"/>
              </w:rPr>
              <w:t xml:space="preserve">ост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 xml:space="preserve"> к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-3"/>
              </w:rPr>
              <w:t>н</w:t>
            </w: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т</w:t>
            </w:r>
            <w:r w:rsidRPr="00EE0E3C">
              <w:rPr>
                <w:rFonts w:ascii="Times New Roman" w:hAnsi="Times New Roman"/>
                <w:spacing w:val="-1"/>
              </w:rPr>
              <w:t>ивни</w:t>
            </w:r>
            <w:r w:rsidRPr="00EE0E3C">
              <w:rPr>
                <w:rFonts w:ascii="Times New Roman" w:hAnsi="Times New Roman"/>
              </w:rPr>
              <w:t>те</w:t>
            </w:r>
            <w:r w:rsidRPr="00EE0E3C">
              <w:rPr>
                <w:rFonts w:ascii="Times New Roman" w:hAnsi="Times New Roman"/>
                <w:spacing w:val="1"/>
              </w:rPr>
              <w:t xml:space="preserve"> </w:t>
            </w:r>
            <w:r w:rsidRPr="00EE0E3C">
              <w:rPr>
                <w:rFonts w:ascii="Times New Roman" w:hAnsi="Times New Roman"/>
                <w:spacing w:val="-2"/>
              </w:rPr>
              <w:t>е</w:t>
            </w:r>
            <w:r w:rsidRPr="00EE0E3C">
              <w:rPr>
                <w:rFonts w:ascii="Times New Roman" w:hAnsi="Times New Roman"/>
              </w:rPr>
              <w:t xml:space="preserve">лементи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 xml:space="preserve"> </w:t>
            </w:r>
            <w:r w:rsidRPr="00EE0E3C">
              <w:rPr>
                <w:rFonts w:ascii="Times New Roman" w:hAnsi="Times New Roman"/>
                <w:spacing w:val="-2"/>
              </w:rPr>
              <w:t>с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2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>д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те</w:t>
            </w:r>
          </w:p>
        </w:tc>
      </w:tr>
      <w:tr w:rsidR="007D18B0" w:rsidRPr="007D18B0" w:rsidTr="00BB747D">
        <w:trPr>
          <w:trHeight w:hRule="exact" w:val="1881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0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8" w:after="0" w:line="252" w:lineRule="exact"/>
              <w:ind w:left="71" w:right="32"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оло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и и рам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и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39" w:lineRule="auto"/>
              <w:ind w:left="52" w:right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ш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и </w:t>
            </w: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>реш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осещи сте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1" w:right="18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ш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и </w:t>
            </w: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 xml:space="preserve">решн и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осещ и сте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9" w:right="6" w:hanging="3"/>
              <w:jc w:val="center"/>
              <w:rPr>
                <w:rFonts w:ascii="Times New Roman" w:hAnsi="Times New Roman"/>
              </w:rPr>
            </w:pPr>
            <w:r w:rsidRPr="00EE0E3C">
              <w:rPr>
                <w:rFonts w:ascii="Times New Roman" w:hAnsi="Times New Roman"/>
              </w:rPr>
              <w:t>сте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 е</w:t>
            </w: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-1"/>
              </w:rPr>
              <w:t>ци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н и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ор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  <w:spacing w:val="1"/>
              </w:rPr>
              <w:t>д</w:t>
            </w:r>
            <w:r w:rsidRPr="00EE0E3C">
              <w:rPr>
                <w:rFonts w:ascii="Times New Roman" w:hAnsi="Times New Roman"/>
              </w:rPr>
              <w:t>ори</w:t>
            </w:r>
          </w:p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1" w:righ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1"/>
              </w:rPr>
              <w:t>ф</w:t>
            </w:r>
            <w:r w:rsidRPr="00EE0E3C">
              <w:rPr>
                <w:rFonts w:ascii="Times New Roman" w:hAnsi="Times New Roman"/>
              </w:rPr>
              <w:t>оа</w:t>
            </w:r>
            <w:r w:rsidRPr="00EE0E3C">
              <w:rPr>
                <w:rFonts w:ascii="Times New Roman" w:hAnsi="Times New Roman"/>
                <w:spacing w:val="-1"/>
              </w:rPr>
              <w:t>й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-3"/>
              </w:rPr>
              <w:t>т</w:t>
            </w:r>
            <w:r w:rsidRPr="00EE0E3C">
              <w:rPr>
                <w:rFonts w:ascii="Times New Roman" w:hAnsi="Times New Roman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2" w:right="47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ме</w:t>
            </w:r>
            <w:r w:rsidRPr="00EE0E3C">
              <w:rPr>
                <w:rFonts w:ascii="Times New Roman" w:hAnsi="Times New Roman"/>
                <w:spacing w:val="1"/>
              </w:rPr>
              <w:t>жд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</w:rPr>
              <w:t>- ета</w:t>
            </w:r>
            <w:r w:rsidRPr="00EE0E3C">
              <w:rPr>
                <w:rFonts w:ascii="Times New Roman" w:hAnsi="Times New Roman"/>
                <w:spacing w:val="1"/>
              </w:rPr>
              <w:t>ж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п</w:t>
            </w:r>
            <w:r w:rsidRPr="00EE0E3C">
              <w:rPr>
                <w:rFonts w:ascii="Times New Roman" w:hAnsi="Times New Roman"/>
              </w:rPr>
              <w:t>ре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2"/>
              </w:rPr>
              <w:t>а</w:t>
            </w:r>
            <w:r w:rsidRPr="00EE0E3C">
              <w:rPr>
                <w:rFonts w:ascii="Times New Roman" w:hAnsi="Times New Roman"/>
              </w:rPr>
              <w:t xml:space="preserve">д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 xml:space="preserve">ру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  <w:spacing w:val="-4"/>
              </w:rPr>
              <w:t>-</w:t>
            </w:r>
            <w:r w:rsidRPr="00EE0E3C">
              <w:rPr>
                <w:rFonts w:ascii="Times New Roman" w:hAnsi="Times New Roman"/>
                <w:spacing w:val="-1"/>
              </w:rPr>
              <w:t>ци</w:t>
            </w:r>
            <w:r w:rsidRPr="00EE0E3C">
              <w:rPr>
                <w:rFonts w:ascii="Times New Roman" w:hAnsi="Times New Roman"/>
              </w:rPr>
              <w:t>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96" w:right="7" w:hanging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сте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 ст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</w:rPr>
              <w:t xml:space="preserve">л- </w:t>
            </w:r>
            <w:r w:rsidRPr="00EE0E3C">
              <w:rPr>
                <w:rFonts w:ascii="Times New Roman" w:hAnsi="Times New Roman"/>
                <w:spacing w:val="1"/>
              </w:rPr>
              <w:t>б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ща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4" w:right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п</w:t>
            </w:r>
            <w:r w:rsidRPr="00EE0E3C">
              <w:rPr>
                <w:rFonts w:ascii="Times New Roman" w:hAnsi="Times New Roman"/>
              </w:rPr>
              <w:t>лоща</w:t>
            </w:r>
            <w:r w:rsidRPr="00EE0E3C">
              <w:rPr>
                <w:rFonts w:ascii="Times New Roman" w:hAnsi="Times New Roman"/>
                <w:spacing w:val="-2"/>
              </w:rPr>
              <w:t>д</w:t>
            </w:r>
            <w:r w:rsidRPr="00EE0E3C">
              <w:rPr>
                <w:rFonts w:ascii="Times New Roman" w:hAnsi="Times New Roman"/>
              </w:rPr>
              <w:t>к и и раме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а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 ст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</w:rPr>
              <w:t>л</w:t>
            </w:r>
            <w:r w:rsidRPr="00EE0E3C">
              <w:rPr>
                <w:rFonts w:ascii="Times New Roman" w:hAnsi="Times New Roman"/>
                <w:spacing w:val="1"/>
              </w:rPr>
              <w:t>б</w:t>
            </w:r>
            <w:r w:rsidRPr="00EE0E3C">
              <w:rPr>
                <w:rFonts w:ascii="Times New Roman" w:hAnsi="Times New Roman"/>
                <w:spacing w:val="-3"/>
              </w:rPr>
              <w:t>и</w:t>
            </w:r>
            <w:r w:rsidRPr="00EE0E3C">
              <w:rPr>
                <w:rFonts w:ascii="Times New Roman" w:hAnsi="Times New Roman"/>
              </w:rPr>
              <w:t>щ 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39" w:lineRule="auto"/>
              <w:ind w:left="21" w:right="19" w:hanging="2"/>
              <w:jc w:val="center"/>
              <w:rPr>
                <w:rFonts w:ascii="Times New Roman" w:hAnsi="Times New Roman"/>
              </w:rPr>
            </w:pPr>
            <w:r w:rsidRPr="00EE0E3C">
              <w:rPr>
                <w:rFonts w:ascii="Times New Roman" w:hAnsi="Times New Roman"/>
                <w:spacing w:val="-1"/>
              </w:rPr>
              <w:t>п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1"/>
              </w:rPr>
              <w:t>ив</w:t>
            </w:r>
            <w:r w:rsidRPr="00EE0E3C">
              <w:rPr>
                <w:rFonts w:ascii="Times New Roman" w:hAnsi="Times New Roman"/>
              </w:rPr>
              <w:t xml:space="preserve">н а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 xml:space="preserve">ру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  <w:spacing w:val="-1"/>
              </w:rPr>
              <w:t>ци</w:t>
            </w:r>
            <w:r w:rsidRPr="00EE0E3C">
              <w:rPr>
                <w:rFonts w:ascii="Times New Roman" w:hAnsi="Times New Roman"/>
              </w:rPr>
              <w:t>я с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</w:rPr>
              <w:t xml:space="preserve">с </w:t>
            </w:r>
            <w:r w:rsidRPr="00EE0E3C">
              <w:rPr>
                <w:rFonts w:ascii="Times New Roman" w:hAnsi="Times New Roman"/>
                <w:spacing w:val="-1"/>
              </w:rPr>
              <w:t>з</w:t>
            </w:r>
            <w:r w:rsidRPr="00EE0E3C">
              <w:rPr>
                <w:rFonts w:ascii="Times New Roman" w:hAnsi="Times New Roman"/>
              </w:rPr>
              <w:t>ащ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та</w:t>
            </w:r>
          </w:p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5" w:after="0" w:line="252" w:lineRule="exact"/>
              <w:ind w:left="6" w:right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2"/>
              </w:rPr>
              <w:t>г</w:t>
            </w:r>
            <w:r w:rsidRPr="00EE0E3C">
              <w:rPr>
                <w:rFonts w:ascii="Times New Roman" w:hAnsi="Times New Roman"/>
              </w:rPr>
              <w:t>лас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о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оло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-2"/>
              </w:rPr>
              <w:t xml:space="preserve"> </w:t>
            </w:r>
            <w:r w:rsidRPr="00EE0E3C">
              <w:rPr>
                <w:rFonts w:ascii="Times New Roman" w:hAnsi="Times New Roman"/>
              </w:rPr>
              <w:t>6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2" w:right="48"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п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1"/>
              </w:rPr>
              <w:t>ивн</w:t>
            </w:r>
            <w:r w:rsidRPr="00EE0E3C">
              <w:rPr>
                <w:rFonts w:ascii="Times New Roman" w:hAnsi="Times New Roman"/>
              </w:rPr>
              <w:t xml:space="preserve">а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с</w:t>
            </w:r>
            <w:r w:rsidRPr="00EE0E3C">
              <w:rPr>
                <w:rFonts w:ascii="Times New Roman" w:hAnsi="Times New Roman"/>
                <w:spacing w:val="-1"/>
              </w:rPr>
              <w:t>т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 xml:space="preserve">- </w:t>
            </w:r>
            <w:r w:rsidRPr="00EE0E3C">
              <w:rPr>
                <w:rFonts w:ascii="Times New Roman" w:hAnsi="Times New Roman"/>
                <w:spacing w:val="-1"/>
              </w:rPr>
              <w:t>ци</w:t>
            </w:r>
            <w:r w:rsidRPr="00EE0E3C">
              <w:rPr>
                <w:rFonts w:ascii="Times New Roman" w:hAnsi="Times New Roman"/>
              </w:rPr>
              <w:t xml:space="preserve">я </w:t>
            </w:r>
            <w:r w:rsidRPr="00EE0E3C">
              <w:rPr>
                <w:rFonts w:ascii="Times New Roman" w:hAnsi="Times New Roman"/>
                <w:spacing w:val="1"/>
              </w:rPr>
              <w:t>б</w:t>
            </w:r>
            <w:r w:rsidRPr="00EE0E3C">
              <w:rPr>
                <w:rFonts w:ascii="Times New Roman" w:hAnsi="Times New Roman"/>
              </w:rPr>
              <w:t xml:space="preserve">ез </w:t>
            </w:r>
            <w:r w:rsidRPr="00EE0E3C">
              <w:rPr>
                <w:rFonts w:ascii="Times New Roman" w:hAnsi="Times New Roman"/>
                <w:spacing w:val="-1"/>
              </w:rPr>
              <w:t>з</w:t>
            </w:r>
            <w:r w:rsidRPr="00EE0E3C">
              <w:rPr>
                <w:rFonts w:ascii="Times New Roman" w:hAnsi="Times New Roman"/>
              </w:rPr>
              <w:t>ащ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та с</w:t>
            </w:r>
            <w:r w:rsidRPr="00EE0E3C">
              <w:rPr>
                <w:rFonts w:ascii="Times New Roman" w:hAnsi="Times New Roman"/>
                <w:spacing w:val="1"/>
              </w:rPr>
              <w:t>ъ</w:t>
            </w:r>
            <w:r w:rsidRPr="00EE0E3C">
              <w:rPr>
                <w:rFonts w:ascii="Times New Roman" w:hAnsi="Times New Roman"/>
                <w:spacing w:val="-2"/>
              </w:rPr>
              <w:t>г</w:t>
            </w:r>
            <w:r w:rsidRPr="00EE0E3C">
              <w:rPr>
                <w:rFonts w:ascii="Times New Roman" w:hAnsi="Times New Roman"/>
              </w:rPr>
              <w:t>лас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 xml:space="preserve">о </w:t>
            </w:r>
            <w:r w:rsidRPr="00EE0E3C">
              <w:rPr>
                <w:rFonts w:ascii="Times New Roman" w:hAnsi="Times New Roman"/>
                <w:spacing w:val="1"/>
              </w:rPr>
              <w:t>к</w:t>
            </w:r>
            <w:r w:rsidRPr="00EE0E3C">
              <w:rPr>
                <w:rFonts w:ascii="Times New Roman" w:hAnsi="Times New Roman"/>
              </w:rPr>
              <w:t>оло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а</w:t>
            </w:r>
            <w:r w:rsidRPr="00EE0E3C">
              <w:rPr>
                <w:rFonts w:ascii="Times New Roman" w:hAnsi="Times New Roman"/>
                <w:spacing w:val="-2"/>
              </w:rPr>
              <w:t xml:space="preserve"> </w:t>
            </w:r>
            <w:r w:rsidRPr="00EE0E3C">
              <w:rPr>
                <w:rFonts w:ascii="Times New Roman" w:hAnsi="Times New Roman"/>
              </w:rPr>
              <w:t>6</w:t>
            </w:r>
          </w:p>
        </w:tc>
      </w:tr>
      <w:tr w:rsidR="007D18B0" w:rsidRPr="007D18B0" w:rsidTr="00BB747D">
        <w:trPr>
          <w:trHeight w:hRule="exact" w:val="286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48" w:right="5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4" w:right="3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42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4" w:right="3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4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34" w:right="5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4" w:right="3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4" w:right="3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4" w:right="3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8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42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9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10</w:t>
            </w:r>
          </w:p>
        </w:tc>
      </w:tr>
      <w:tr w:rsidR="007D18B0" w:rsidRPr="007D18B0" w:rsidTr="00BB747D">
        <w:trPr>
          <w:trHeight w:hRule="exact" w:val="73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3" w:right="32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К</w:t>
            </w:r>
            <w:r w:rsidRPr="00EE0E3C">
              <w:rPr>
                <w:rFonts w:ascii="Times New Roman" w:hAnsi="Times New Roman"/>
              </w:rPr>
              <w:t>р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тер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з</w:t>
            </w:r>
            <w:r w:rsidRPr="00EE0E3C">
              <w:rPr>
                <w:rFonts w:ascii="Times New Roman" w:hAnsi="Times New Roman"/>
              </w:rPr>
              <w:t>а о</w:t>
            </w:r>
            <w:r w:rsidRPr="00EE0E3C">
              <w:rPr>
                <w:rFonts w:ascii="Times New Roman" w:hAnsi="Times New Roman"/>
                <w:spacing w:val="1"/>
              </w:rPr>
              <w:t>г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-2"/>
              </w:rPr>
              <w:t>у</w:t>
            </w:r>
            <w:r w:rsidRPr="00EE0E3C">
              <w:rPr>
                <w:rFonts w:ascii="Times New Roman" w:hAnsi="Times New Roman"/>
              </w:rPr>
              <w:t>сто</w:t>
            </w:r>
            <w:r w:rsidRPr="00EE0E3C">
              <w:rPr>
                <w:rFonts w:ascii="Times New Roman" w:hAnsi="Times New Roman"/>
                <w:spacing w:val="-1"/>
              </w:rPr>
              <w:t>йч</w:t>
            </w:r>
            <w:r w:rsidRPr="00EE0E3C">
              <w:rPr>
                <w:rFonts w:ascii="Times New Roman" w:hAnsi="Times New Roman"/>
              </w:rPr>
              <w:t xml:space="preserve">и </w:t>
            </w:r>
            <w:r w:rsidRPr="00EE0E3C">
              <w:rPr>
                <w:rFonts w:ascii="Times New Roman" w:hAnsi="Times New Roman"/>
                <w:spacing w:val="-1"/>
              </w:rPr>
              <w:t>в</w:t>
            </w:r>
            <w:r w:rsidRPr="00EE0E3C">
              <w:rPr>
                <w:rFonts w:ascii="Times New Roman" w:hAnsi="Times New Roman"/>
              </w:rPr>
              <w:t>ост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34" w:right="3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R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R</w:t>
            </w:r>
            <w:r w:rsidRPr="00EE0E3C">
              <w:rPr>
                <w:rFonts w:ascii="Times New Roman" w:hAnsi="Times New Roman"/>
                <w:spacing w:val="2"/>
              </w:rPr>
              <w:t>E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06" w:right="2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2"/>
              </w:rPr>
              <w:t>E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86" w:right="4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2"/>
              </w:rPr>
              <w:t>E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R</w:t>
            </w:r>
            <w:r w:rsidRPr="00EE0E3C">
              <w:rPr>
                <w:rFonts w:ascii="Times New Roman" w:hAnsi="Times New Roman"/>
                <w:spacing w:val="2"/>
              </w:rPr>
              <w:t>E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06" w:right="2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2"/>
              </w:rPr>
              <w:t>E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35" w:right="3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R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R</w:t>
            </w:r>
            <w:r w:rsidRPr="00EE0E3C">
              <w:rPr>
                <w:rFonts w:ascii="Times New Roman" w:hAnsi="Times New Roman"/>
                <w:spacing w:val="-1"/>
              </w:rPr>
              <w:t xml:space="preserve"> и</w:t>
            </w:r>
            <w:r w:rsidRPr="00EE0E3C">
              <w:rPr>
                <w:rFonts w:ascii="Times New Roman" w:hAnsi="Times New Roman"/>
              </w:rPr>
              <w:t xml:space="preserve">ли </w:t>
            </w:r>
            <w:r w:rsidRPr="00EE0E3C">
              <w:rPr>
                <w:rFonts w:ascii="Times New Roman" w:hAnsi="Times New Roman"/>
                <w:spacing w:val="-1"/>
              </w:rPr>
              <w:t>R</w:t>
            </w:r>
            <w:r w:rsidRPr="00EE0E3C">
              <w:rPr>
                <w:rFonts w:ascii="Times New Roman" w:hAnsi="Times New Roman"/>
              </w:rPr>
              <w:t>E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133" w:right="130"/>
              <w:jc w:val="center"/>
              <w:rPr>
                <w:rFonts w:ascii="Times New Roman" w:hAnsi="Times New Roman"/>
              </w:rPr>
            </w:pPr>
            <w:r w:rsidRPr="00EE0E3C">
              <w:rPr>
                <w:rFonts w:ascii="Times New Roman" w:hAnsi="Times New Roman"/>
              </w:rPr>
              <w:t>R</w:t>
            </w:r>
            <w:r w:rsidRPr="00EE0E3C">
              <w:rPr>
                <w:rFonts w:ascii="Times New Roman" w:hAnsi="Times New Roman"/>
                <w:spacing w:val="-1"/>
              </w:rPr>
              <w:t xml:space="preserve"> и</w:t>
            </w:r>
            <w:r w:rsidRPr="00EE0E3C">
              <w:rPr>
                <w:rFonts w:ascii="Times New Roman" w:hAnsi="Times New Roman"/>
              </w:rPr>
              <w:t>ли</w:t>
            </w:r>
          </w:p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67" w:right="2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R</w:t>
            </w:r>
            <w:r w:rsidRPr="00EE0E3C">
              <w:rPr>
                <w:rFonts w:ascii="Times New Roman" w:hAnsi="Times New Roman"/>
              </w:rPr>
              <w:t>E</w:t>
            </w:r>
          </w:p>
        </w:tc>
      </w:tr>
      <w:tr w:rsidR="007D18B0" w:rsidRPr="007D18B0" w:rsidTr="00BB747D">
        <w:trPr>
          <w:trHeight w:hRule="exact" w:val="508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531" w:right="5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I</w:t>
            </w:r>
            <w:r w:rsidRPr="00EE0E3C">
              <w:rPr>
                <w:rFonts w:ascii="Times New Roman" w:hAnsi="Times New Roman"/>
              </w:rPr>
              <w:t>I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120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332" w:right="3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120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30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478" w:right="4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60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90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60</w:t>
            </w:r>
          </w:p>
        </w:tc>
        <w:tc>
          <w:tcPr>
            <w:tcW w:w="1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8" w:after="0" w:line="252" w:lineRule="exact"/>
              <w:ind w:left="133" w:right="94" w:firstLine="1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е</w:t>
            </w:r>
            <w:r w:rsidRPr="00EE0E3C">
              <w:rPr>
                <w:rFonts w:ascii="Times New Roman" w:hAnsi="Times New Roman"/>
                <w:spacing w:val="1"/>
              </w:rPr>
              <w:t xml:space="preserve"> </w:t>
            </w:r>
            <w:r w:rsidRPr="00EE0E3C">
              <w:rPr>
                <w:rFonts w:ascii="Times New Roman" w:hAnsi="Times New Roman"/>
              </w:rPr>
              <w:t xml:space="preserve">се </w:t>
            </w:r>
            <w:r w:rsidRPr="00EE0E3C">
              <w:rPr>
                <w:rFonts w:ascii="Times New Roman" w:hAnsi="Times New Roman"/>
                <w:spacing w:val="-1"/>
              </w:rPr>
              <w:t>н</w:t>
            </w:r>
            <w:r w:rsidRPr="00EE0E3C">
              <w:rPr>
                <w:rFonts w:ascii="Times New Roman" w:hAnsi="Times New Roman"/>
              </w:rPr>
              <w:t>орм</w:t>
            </w:r>
            <w:r w:rsidRPr="00EE0E3C">
              <w:rPr>
                <w:rFonts w:ascii="Times New Roman" w:hAnsi="Times New Roman"/>
                <w:spacing w:val="-1"/>
              </w:rPr>
              <w:t>и</w:t>
            </w:r>
            <w:r w:rsidRPr="00EE0E3C">
              <w:rPr>
                <w:rFonts w:ascii="Times New Roman" w:hAnsi="Times New Roman"/>
              </w:rPr>
              <w:t>ра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792" w:rsidRPr="00EE0E3C" w:rsidRDefault="00D56792" w:rsidP="00BB747D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left="298" w:right="2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E3C">
              <w:rPr>
                <w:rFonts w:ascii="Times New Roman" w:hAnsi="Times New Roman"/>
              </w:rPr>
              <w:t>45</w:t>
            </w:r>
          </w:p>
        </w:tc>
      </w:tr>
    </w:tbl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Категория на пожарна опасност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чл.405, ал.2  от Наредбата,строежът е приравнен като категория по пожарна опасност Ф5В, относно разстоянията до съседни сгради. Тези изисквания са спазени.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На продукти за покрития на вътрешните повърхности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чл.14,ал.11 и табл.№ 7 от Наредбата минималния клас по реакция на огън на продукти за покрития на вътрешните повърхности са: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- Стени и тавани - 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0E3C">
        <w:rPr>
          <w:rFonts w:ascii="Times New Roman" w:hAnsi="Times New Roman" w:cs="Times New Roman"/>
          <w:sz w:val="24"/>
          <w:szCs w:val="24"/>
        </w:rPr>
        <w:t>-s2- надземна част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 -Подове -</w:t>
      </w:r>
      <w:r w:rsidRPr="00EE0E3C">
        <w:rPr>
          <w:rFonts w:ascii="Times New Roman" w:hAnsi="Times New Roman" w:cs="Times New Roman"/>
          <w:sz w:val="24"/>
          <w:szCs w:val="24"/>
        </w:rPr>
        <w:tab/>
        <w:t xml:space="preserve">       A2</w:t>
      </w:r>
      <w:r w:rsidRPr="00EE0E3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fl</w:t>
      </w:r>
      <w:r w:rsidRPr="00EE0E3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>- надземна част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sz w:val="24"/>
          <w:szCs w:val="24"/>
        </w:rPr>
        <w:t>- Сутерен- таван С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>s1,d1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На практика за сградата са предвидени: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Стените са 25 см тухлена зидария с гипсова мазилка и латекс.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Подовата настилка е от теракотни плочи и гранитогрес в общите площи, което приравнява вътрешните покрития от клас на реакция на огън на строителните продукти от А1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На продукти за топлоизолации (ХР</w:t>
      </w:r>
      <w:r w:rsidRPr="00EE0E3C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EE0E3C">
        <w:rPr>
          <w:rFonts w:ascii="Times New Roman" w:hAnsi="Times New Roman" w:cs="Times New Roman"/>
          <w:b/>
          <w:bCs/>
          <w:sz w:val="24"/>
          <w:szCs w:val="24"/>
        </w:rPr>
        <w:t>) на външни повърхности включително и по цокъла.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 xml:space="preserve">изискванията на чл.14,ал.12 и табл.№ 7.2 от Наредбата  за външна топлоизолация за ІІ та степен на огнеустойчивост, класа на топлоизолоцията е С и на външния повърхностен слой А2. </w:t>
      </w:r>
    </w:p>
    <w:p w:rsidR="00D56792" w:rsidRPr="007D18B0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В случая следва да се  предвиди топлоизолационни пояси с клас на реакция на огън не по-нисък от А2, съгласно приложената схема.</w:t>
      </w:r>
    </w:p>
    <w:p w:rsidR="007D18B0" w:rsidRPr="00EE0E3C" w:rsidRDefault="007D18B0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Забележка:</w:t>
      </w:r>
    </w:p>
    <w:p w:rsidR="00D56792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При изпълнение на топло и хидроизолацията на покрива да се изпълни около комините пръстен от строителен продукт с клас на реакция на огън не по- нисък от А2.</w:t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4754" w:rsidRPr="00EE0E3C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754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noProof/>
          <w:lang w:eastAsia="bg-BG"/>
        </w:rPr>
        <w:lastRenderedPageBreak/>
        <w:drawing>
          <wp:inline distT="0" distB="0" distL="0" distR="0" wp14:anchorId="714B605D" wp14:editId="73BCB190">
            <wp:extent cx="5715000" cy="3343275"/>
            <wp:effectExtent l="0" t="0" r="0" b="9525"/>
            <wp:docPr id="3" name="Картина 3" descr="http://dv.parliament.bg/DVPics/2016/2_16/fig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v.parliament.bg/DVPics/2016/2_16/fig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Вариант2</w:t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C1B">
        <w:rPr>
          <w:noProof/>
          <w:lang w:eastAsia="bg-BG"/>
        </w:rPr>
        <w:drawing>
          <wp:inline distT="0" distB="0" distL="0" distR="0" wp14:anchorId="3287CE61" wp14:editId="1F053C87">
            <wp:extent cx="5715000" cy="2952750"/>
            <wp:effectExtent l="0" t="0" r="0" b="0"/>
            <wp:docPr id="1" name="Картина 1" descr="http://dv.parliament.bg/DVPics/2016/2_16/fig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v.parliament.bg/DVPics/2016/2_16/fig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C1B">
        <w:rPr>
          <w:noProof/>
          <w:lang w:eastAsia="bg-BG"/>
        </w:rPr>
        <w:drawing>
          <wp:inline distT="0" distB="0" distL="0" distR="0" wp14:anchorId="19116252" wp14:editId="4AF5A700">
            <wp:extent cx="5715000" cy="3019425"/>
            <wp:effectExtent l="0" t="0" r="0" b="9525"/>
            <wp:docPr id="2" name="Картина 2" descr="http://dv.parliament.bg/DVPics/2016/2_16/fig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v.parliament.bg/DVPics/2016/2_16/fig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754" w:rsidRDefault="00214754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Пожарни сектори</w:t>
      </w:r>
    </w:p>
    <w:p w:rsidR="00D56792" w:rsidRDefault="00D56792" w:rsidP="00D567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-застроена площ н</w:t>
      </w:r>
      <w:r w:rsidR="007D18B0" w:rsidRPr="007D18B0">
        <w:rPr>
          <w:rFonts w:ascii="Times New Roman" w:hAnsi="Times New Roman" w:cs="Times New Roman"/>
          <w:sz w:val="24"/>
          <w:szCs w:val="24"/>
        </w:rPr>
        <w:t>а етаж за входове А,</w:t>
      </w:r>
      <w:r w:rsidRPr="00EE0E3C">
        <w:rPr>
          <w:rFonts w:ascii="Times New Roman" w:hAnsi="Times New Roman" w:cs="Times New Roman"/>
          <w:sz w:val="24"/>
          <w:szCs w:val="24"/>
        </w:rPr>
        <w:t xml:space="preserve"> Б</w:t>
      </w:r>
      <w:r w:rsidR="007D18B0" w:rsidRPr="007D18B0">
        <w:rPr>
          <w:rFonts w:ascii="Times New Roman" w:hAnsi="Times New Roman" w:cs="Times New Roman"/>
          <w:sz w:val="24"/>
          <w:szCs w:val="24"/>
        </w:rPr>
        <w:t>, В и Г</w:t>
      </w:r>
      <w:r w:rsidRPr="00EE0E3C">
        <w:rPr>
          <w:rFonts w:ascii="Times New Roman" w:hAnsi="Times New Roman" w:cs="Times New Roman"/>
          <w:sz w:val="24"/>
          <w:szCs w:val="24"/>
        </w:rPr>
        <w:t xml:space="preserve"> е </w:t>
      </w:r>
      <w:r w:rsidR="004B05B7">
        <w:rPr>
          <w:rFonts w:ascii="Times New Roman" w:hAnsi="Times New Roman" w:cs="Times New Roman"/>
          <w:sz w:val="24"/>
          <w:szCs w:val="24"/>
        </w:rPr>
        <w:t xml:space="preserve">общо </w:t>
      </w:r>
      <w:r w:rsidR="007D18B0" w:rsidRPr="007D18B0">
        <w:rPr>
          <w:rFonts w:ascii="Times New Roman" w:hAnsi="Times New Roman" w:cs="Times New Roman"/>
          <w:sz w:val="24"/>
          <w:szCs w:val="24"/>
          <w:lang w:eastAsia="bg-BG"/>
        </w:rPr>
        <w:t>680,08</w:t>
      </w:r>
      <w:r w:rsidRPr="00EE0E3C">
        <w:rPr>
          <w:rFonts w:ascii="Times New Roman" w:hAnsi="Times New Roman" w:cs="Times New Roman"/>
          <w:sz w:val="24"/>
          <w:szCs w:val="24"/>
        </w:rPr>
        <w:t>м</w:t>
      </w:r>
      <w:r w:rsidRPr="00EE0E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B05B7">
        <w:rPr>
          <w:rFonts w:ascii="Times New Roman" w:hAnsi="Times New Roman" w:cs="Times New Roman"/>
          <w:sz w:val="24"/>
          <w:szCs w:val="24"/>
        </w:rPr>
        <w:t xml:space="preserve"> или всеки по 166.0м</w:t>
      </w:r>
      <w:r w:rsidR="004B05B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87800">
        <w:rPr>
          <w:rFonts w:ascii="Times New Roman" w:hAnsi="Times New Roman" w:cs="Times New Roman"/>
          <w:sz w:val="24"/>
          <w:szCs w:val="24"/>
        </w:rPr>
        <w:t>;</w:t>
      </w:r>
    </w:p>
    <w:p w:rsidR="00A87800" w:rsidRPr="00EE0E3C" w:rsidRDefault="00A87800" w:rsidP="00D567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-магазини входове А и Б – вратите към стълбищата да се предвидят ЕІ60.-</w:t>
      </w:r>
      <w:r w:rsidRPr="00A87800">
        <w:rPr>
          <w:rFonts w:ascii="Times New Roman" w:hAnsi="Times New Roman" w:cs="Times New Roman"/>
          <w:b/>
          <w:sz w:val="24"/>
          <w:szCs w:val="24"/>
        </w:rPr>
        <w:t>ПРЕПОРЪЧИТЕЛНО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Пътища за пожарогасителна и аварийно спасителна дейност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Съгласно изискванията на чл.27 от Наредбата пътищата за пожарогасителна и аварийно спасителна дейност да са сключени, с трайна настилка и минимална широчина 3,5м. В случая имаме съществуващата улична мрежа на гр. </w:t>
      </w:r>
      <w:r w:rsidR="007D18B0" w:rsidRPr="007D18B0">
        <w:rPr>
          <w:rFonts w:ascii="Times New Roman" w:hAnsi="Times New Roman" w:cs="Times New Roman"/>
          <w:sz w:val="24"/>
          <w:szCs w:val="24"/>
        </w:rPr>
        <w:t>Смолян</w:t>
      </w:r>
      <w:r w:rsidRPr="00EE0E3C">
        <w:rPr>
          <w:rFonts w:ascii="Times New Roman" w:hAnsi="Times New Roman" w:cs="Times New Roman"/>
          <w:sz w:val="24"/>
          <w:szCs w:val="24"/>
        </w:rPr>
        <w:t xml:space="preserve"> с осигурен на този етап подход към сградата.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Стълби за пожарогасителни и аварийно спасителни дейности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Съгласно изискванията на чл.30,ал.1 от Наредбата за сградата не се предвиждат стълби за пожарогасителна и аварийно спасителни дейности. 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6792" w:rsidRPr="00EE0E3C" w:rsidRDefault="00D56792" w:rsidP="00D56792">
      <w:pPr>
        <w:tabs>
          <w:tab w:val="left" w:pos="5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Евакуационни изходи</w:t>
      </w:r>
    </w:p>
    <w:p w:rsidR="00D56792" w:rsidRPr="00EE0E3C" w:rsidRDefault="00D56792" w:rsidP="00D56792">
      <w:pPr>
        <w:tabs>
          <w:tab w:val="left" w:pos="5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-от полуподземния етаж- мазетата са предвидени изходи към стълбищатата на</w:t>
      </w:r>
      <w:r w:rsidR="007D18B0" w:rsidRPr="007D18B0">
        <w:rPr>
          <w:rFonts w:ascii="Times New Roman" w:hAnsi="Times New Roman" w:cs="Times New Roman"/>
          <w:sz w:val="24"/>
          <w:szCs w:val="24"/>
        </w:rPr>
        <w:t xml:space="preserve"> четирите</w:t>
      </w:r>
      <w:r w:rsidRPr="00EE0E3C">
        <w:rPr>
          <w:rFonts w:ascii="Times New Roman" w:hAnsi="Times New Roman" w:cs="Times New Roman"/>
          <w:sz w:val="24"/>
          <w:szCs w:val="24"/>
        </w:rPr>
        <w:t xml:space="preserve"> входа с врати.</w:t>
      </w:r>
    </w:p>
    <w:p w:rsidR="00D56792" w:rsidRPr="00EE0E3C" w:rsidRDefault="00D56792" w:rsidP="00D56792">
      <w:pPr>
        <w:tabs>
          <w:tab w:val="left" w:pos="5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sz w:val="24"/>
          <w:szCs w:val="24"/>
        </w:rPr>
        <w:t>-от надземната част на жилищната сграда</w:t>
      </w:r>
      <w:r w:rsidRPr="00EE0E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E0E3C">
        <w:rPr>
          <w:rFonts w:ascii="Times New Roman" w:hAnsi="Times New Roman" w:cs="Times New Roman"/>
          <w:sz w:val="24"/>
          <w:szCs w:val="24"/>
        </w:rPr>
        <w:t xml:space="preserve">(три входа) към едно стълбище. 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Евакуационни пътища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Евакуационните пътища в отделните </w:t>
      </w:r>
      <w:r w:rsidR="007D18B0" w:rsidRPr="007D18B0">
        <w:rPr>
          <w:rFonts w:ascii="Times New Roman" w:hAnsi="Times New Roman" w:cs="Times New Roman"/>
          <w:sz w:val="24"/>
          <w:szCs w:val="24"/>
        </w:rPr>
        <w:t>входове</w:t>
      </w:r>
      <w:r w:rsidRPr="00EE0E3C">
        <w:rPr>
          <w:rFonts w:ascii="Times New Roman" w:hAnsi="Times New Roman" w:cs="Times New Roman"/>
          <w:sz w:val="24"/>
          <w:szCs w:val="24"/>
        </w:rPr>
        <w:t xml:space="preserve"> не превишават заложените изисквания, а именно: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-полуподземният етаж към краен евакуационен изход не надвишава  20м. от всяка точка на помещенията, което е в съответствие с изискванията на чл.44,ал.2 от Наредбата;</w:t>
      </w:r>
    </w:p>
    <w:p w:rsidR="00A87800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-от жилищата и етажните площадки на </w:t>
      </w:r>
      <w:r w:rsidR="007D18B0" w:rsidRPr="007D18B0">
        <w:rPr>
          <w:rFonts w:ascii="Times New Roman" w:hAnsi="Times New Roman" w:cs="Times New Roman"/>
          <w:sz w:val="24"/>
          <w:szCs w:val="24"/>
        </w:rPr>
        <w:t>четирите входа</w:t>
      </w:r>
      <w:r w:rsidRPr="00EE0E3C">
        <w:rPr>
          <w:rFonts w:ascii="Times New Roman" w:hAnsi="Times New Roman" w:cs="Times New Roman"/>
          <w:sz w:val="24"/>
          <w:szCs w:val="24"/>
        </w:rPr>
        <w:t xml:space="preserve"> към самостоятелни стълбища, съгласно изискванията на чл. 44, ал.3, т.1 а от Наредбата.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87800" w:rsidRDefault="00D56792" w:rsidP="00D567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 xml:space="preserve">Забележка: 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Вратите (</w:t>
      </w:r>
      <w:r w:rsidR="00A87800" w:rsidRPr="00A87800">
        <w:rPr>
          <w:rFonts w:ascii="Times New Roman" w:hAnsi="Times New Roman" w:cs="Times New Roman"/>
          <w:b/>
          <w:sz w:val="24"/>
          <w:szCs w:val="24"/>
        </w:rPr>
        <w:t>четири</w:t>
      </w:r>
      <w:r w:rsidRPr="00EE0E3C">
        <w:rPr>
          <w:rFonts w:ascii="Times New Roman" w:hAnsi="Times New Roman" w:cs="Times New Roman"/>
          <w:b/>
          <w:sz w:val="24"/>
          <w:szCs w:val="24"/>
        </w:rPr>
        <w:t xml:space="preserve"> броя) на  полуподземния етаж- мазетата към стълбищата не са пре</w:t>
      </w:r>
      <w:r w:rsidR="00A87800" w:rsidRPr="00A87800">
        <w:rPr>
          <w:rFonts w:ascii="Times New Roman" w:hAnsi="Times New Roman" w:cs="Times New Roman"/>
          <w:b/>
          <w:sz w:val="24"/>
          <w:szCs w:val="24"/>
        </w:rPr>
        <w:t>двидени с огнеустойчивост ЕІ 60, както и тези от магазините във входове А и Б.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Време за евакуация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 60,ал.1,т.1 нормативното  време за евакуация е  6 минути от надземните етажи.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Отоплителни инсталации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0E3C">
        <w:rPr>
          <w:rFonts w:ascii="Times New Roman" w:eastAsia="Times New Roman" w:hAnsi="Times New Roman" w:cs="Times New Roman"/>
          <w:sz w:val="24"/>
          <w:szCs w:val="24"/>
        </w:rPr>
        <w:t>Отоплителната инсталация е индивидуална за всяко жилище (твърдо, течнно гориво и климатици).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Електрически инсталации</w:t>
      </w:r>
    </w:p>
    <w:p w:rsidR="00D56792" w:rsidRPr="00EE0E3C" w:rsidRDefault="00D56792" w:rsidP="00D56792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Съгласно изискванията на чл.245 от Наредбата сградата е категоризиран от първа група „Нормална пожарна опасност“. За полуподземното ниво- мазетата </w:t>
      </w:r>
      <w:r w:rsidR="00A87800" w:rsidRPr="00A87800">
        <w:rPr>
          <w:rFonts w:ascii="Times New Roman" w:hAnsi="Times New Roman" w:cs="Times New Roman"/>
          <w:sz w:val="24"/>
          <w:szCs w:val="24"/>
        </w:rPr>
        <w:t xml:space="preserve">и магазините </w:t>
      </w:r>
      <w:r w:rsidRPr="00EE0E3C">
        <w:rPr>
          <w:rFonts w:ascii="Times New Roman" w:hAnsi="Times New Roman" w:cs="Times New Roman"/>
          <w:sz w:val="24"/>
          <w:szCs w:val="24"/>
        </w:rPr>
        <w:t xml:space="preserve">следва да се приравни от втора група „Повишена пожарна опасност“  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Клас по пожарна опасност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Съгласно изискванията на чл.245,ал.2 от Наредбата, електрическите уредби и инсталации са предвидени в нормално изпълнение, като са спазени изискванията на Наредба №3 за устройство на електрическите уредби и електропроводни линии и Наредба №4 за проектиране на, изграждане и експлоатация на електрическите уредби в сгради. </w:t>
      </w:r>
      <w:r w:rsidRPr="00EE0E3C">
        <w:rPr>
          <w:rFonts w:ascii="Times New Roman" w:hAnsi="Times New Roman" w:cs="Times New Roman"/>
          <w:b/>
          <w:sz w:val="24"/>
          <w:szCs w:val="24"/>
        </w:rPr>
        <w:t xml:space="preserve">За полуподземното ниво </w:t>
      </w:r>
      <w:r w:rsidR="00A87800" w:rsidRPr="00A87800">
        <w:rPr>
          <w:rFonts w:ascii="Times New Roman" w:hAnsi="Times New Roman" w:cs="Times New Roman"/>
          <w:b/>
          <w:sz w:val="24"/>
          <w:szCs w:val="24"/>
        </w:rPr>
        <w:t xml:space="preserve">и магазините </w:t>
      </w:r>
      <w:r w:rsidRPr="00EE0E3C">
        <w:rPr>
          <w:rFonts w:ascii="Times New Roman" w:hAnsi="Times New Roman" w:cs="Times New Roman"/>
          <w:b/>
          <w:sz w:val="24"/>
          <w:szCs w:val="24"/>
        </w:rPr>
        <w:t>съответно клас П-ІІа- ПРЕПОРЪЧИТЕЛНО.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E0E3C">
        <w:rPr>
          <w:rFonts w:ascii="Times New Roman" w:hAnsi="Times New Roman" w:cs="Times New Roman"/>
          <w:b/>
          <w:bCs/>
          <w:sz w:val="24"/>
          <w:szCs w:val="24"/>
        </w:rPr>
        <w:t>Степен на защита на съоръженията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E0E3C">
        <w:rPr>
          <w:rFonts w:ascii="Times New Roman" w:hAnsi="Times New Roman" w:cs="Times New Roman"/>
          <w:bCs/>
          <w:sz w:val="24"/>
          <w:szCs w:val="24"/>
        </w:rPr>
        <w:t>Нормално изпълнение и ІР20 за подземното ниво</w:t>
      </w:r>
      <w:r w:rsidR="00A87800" w:rsidRPr="00A87800">
        <w:rPr>
          <w:rFonts w:ascii="Times New Roman" w:hAnsi="Times New Roman" w:cs="Times New Roman"/>
          <w:bCs/>
          <w:sz w:val="24"/>
          <w:szCs w:val="24"/>
        </w:rPr>
        <w:t xml:space="preserve"> и магазините</w:t>
      </w:r>
      <w:r w:rsidRPr="00EE0E3C">
        <w:rPr>
          <w:rFonts w:ascii="Times New Roman" w:hAnsi="Times New Roman" w:cs="Times New Roman"/>
          <w:bCs/>
          <w:sz w:val="24"/>
          <w:szCs w:val="24"/>
        </w:rPr>
        <w:t>.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3.3 АКТИВНИ МЕРКИ ЗА ПОЖАРНА БЕЗОПАСНОСТ</w:t>
      </w:r>
    </w:p>
    <w:p w:rsidR="00D56792" w:rsidRPr="00EE0E3C" w:rsidRDefault="00D56792" w:rsidP="00D56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Пожарогасителни инсталации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чл.13,ал.1 и Приложение №1 от Наредбата- не се изискват проектиране на автоматични пожарогасителни инсталации.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Пожароизвестителни инсталации</w:t>
      </w:r>
    </w:p>
    <w:p w:rsidR="00D56792" w:rsidRPr="00EE0E3C" w:rsidRDefault="00D56792" w:rsidP="00D56792">
      <w:pPr>
        <w:shd w:val="clear" w:color="auto" w:fill="FFFFFF"/>
        <w:spacing w:after="0" w:line="240" w:lineRule="auto"/>
        <w:ind w:left="19" w:right="24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т. 2,9 от Приложение №1 на Наредбата не се изиска проектиране на ПИИ.</w:t>
      </w:r>
    </w:p>
    <w:p w:rsidR="00D56792" w:rsidRPr="00EE0E3C" w:rsidRDefault="00D56792" w:rsidP="00D56792">
      <w:pPr>
        <w:shd w:val="clear" w:color="auto" w:fill="FFFFFF"/>
        <w:spacing w:after="0" w:line="240" w:lineRule="auto"/>
        <w:ind w:left="19"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 xml:space="preserve">Оповестителна исталация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Съгласно изискванията на чл.56, ал.1, т.1 от Наредбата, няма необходимост от предвиждане на инсталация за гласово уведомяване.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Димо- и топлоотвеждащи системи</w:t>
      </w:r>
      <w:r w:rsidRPr="00EE0E3C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0E3C">
        <w:rPr>
          <w:rFonts w:ascii="Times New Roman" w:eastAsia="Times New Roman" w:hAnsi="Times New Roman" w:cs="Times New Roman"/>
          <w:bCs/>
          <w:sz w:val="24"/>
          <w:szCs w:val="24"/>
        </w:rPr>
        <w:t>Не се изисква.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ind w:right="4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Външно противопожарно водоснабдяване</w:t>
      </w:r>
    </w:p>
    <w:p w:rsidR="00D56792" w:rsidRDefault="00D56792" w:rsidP="00D56792">
      <w:pPr>
        <w:spacing w:after="0" w:line="240" w:lineRule="auto"/>
        <w:ind w:right="482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Осигурено е от съществуващия улична  водопроводна мрежа и монтираните  ПХ и са оразмерени съгласно изискванията на чл.172, табл.№16 от Наредбата.</w:t>
      </w:r>
    </w:p>
    <w:p w:rsidR="00A87800" w:rsidRDefault="00A87800" w:rsidP="00D56792">
      <w:pPr>
        <w:spacing w:after="0" w:line="240" w:lineRule="auto"/>
        <w:ind w:right="482"/>
        <w:jc w:val="both"/>
        <w:rPr>
          <w:rFonts w:ascii="Times New Roman" w:hAnsi="Times New Roman" w:cs="Times New Roman"/>
          <w:sz w:val="24"/>
          <w:szCs w:val="24"/>
        </w:rPr>
      </w:pPr>
    </w:p>
    <w:p w:rsidR="00A87800" w:rsidRPr="00EE0E3C" w:rsidRDefault="00A87800" w:rsidP="00D56792">
      <w:pPr>
        <w:spacing w:after="0" w:line="240" w:lineRule="auto"/>
        <w:ind w:right="4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ind w:right="48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7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Вътрешно противопожарно водоснабдяване</w:t>
      </w:r>
      <w:r w:rsidRPr="00EE0E3C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E0E3C">
        <w:rPr>
          <w:rFonts w:ascii="Times New Roman" w:eastAsia="Times New Roman" w:hAnsi="Times New Roman" w:cs="Times New Roman"/>
          <w:sz w:val="24"/>
          <w:szCs w:val="24"/>
          <w:lang w:eastAsia="bg-BG"/>
        </w:rPr>
        <w:t>Съгласно чл. 193, т.6 от Наредбата за надземната жилищна част с височина до 28м не е необходимо вътрешно противопожарно водоснабдяване.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E0E3C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bg-BG"/>
        </w:rPr>
        <w:t>Съгласно изискванията на чл.207 от Наредбата:</w:t>
      </w:r>
    </w:p>
    <w:p w:rsidR="00D56792" w:rsidRPr="00EE0E3C" w:rsidRDefault="00D56792" w:rsidP="00D56792">
      <w:pPr>
        <w:tabs>
          <w:tab w:val="left" w:pos="0"/>
          <w:tab w:val="left" w:pos="53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bg-BG"/>
        </w:rPr>
      </w:pPr>
      <w:r w:rsidRPr="00EE0E3C">
        <w:rPr>
          <w:rFonts w:ascii="Times New Roman" w:eastAsia="Times New Roman" w:hAnsi="Times New Roman" w:cs="Times New Roman"/>
          <w:b/>
          <w:i/>
          <w:spacing w:val="2"/>
          <w:sz w:val="24"/>
          <w:szCs w:val="24"/>
          <w:lang w:eastAsia="bg-BG"/>
        </w:rPr>
        <w:t>-в сгради с три и повече етажа и с височина до 28 m (с изключение на сградите от подклас Ф1.4) се предвиждат сухотръбия с тръба с диаметър два цола, с изводи със спирателни кранове и съединители тип „щорц“, разположени в непосредствена близост до входа в евакуационните стълбища на всеки етаж. На етажното ниво за достъп на спасителни екипи, в непосредствена близост до изхода от сградата се предвижда извод със спирателен кран и съединител „щорц“ за захранване с вода на сухотръбието от пожарен автомобил.</w:t>
      </w:r>
    </w:p>
    <w:p w:rsidR="00D56792" w:rsidRPr="00EE0E3C" w:rsidRDefault="00D56792" w:rsidP="00D56792">
      <w:pPr>
        <w:tabs>
          <w:tab w:val="left" w:pos="0"/>
          <w:tab w:val="left" w:pos="53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</w:pPr>
      <w:r w:rsidRPr="00EE0E3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Забележка:</w:t>
      </w:r>
    </w:p>
    <w:p w:rsidR="00D56792" w:rsidRPr="00EE0E3C" w:rsidRDefault="00D56792" w:rsidP="00D56792">
      <w:pPr>
        <w:tabs>
          <w:tab w:val="left" w:pos="0"/>
          <w:tab w:val="left" w:pos="530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E0E3C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bg-BG"/>
        </w:rPr>
        <w:t>В случая тази система не е в обхвата на санирането на жилищните блокове, НО Е ПРЕПОРЪЧИТЕЛНО.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7030A0"/>
          <w:spacing w:val="17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7"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Пожаротехнически средства за първоначално гасене на пожари са както следва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При извършване на строително- монтажните работи да се предвидят: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1.За един фургон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-1бр.прахов пожарогасител клас АВС          6кг.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2.При работа за подмяна на топло и хидро изолация покрив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- 1бр.прахов пожарогасител клас АВС          6кг;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 xml:space="preserve">- 1бр.пожарогасител с въглероден диоксид   5кг.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E3C">
        <w:rPr>
          <w:rFonts w:ascii="Times New Roman" w:hAnsi="Times New Roman" w:cs="Times New Roman"/>
          <w:b/>
          <w:sz w:val="24"/>
          <w:szCs w:val="24"/>
        </w:rPr>
        <w:t>3.4 ЗАКЛЮЧЕНИЕ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На основание изложеното,проектната разработка съответства на изискванията на Наредба І</w:t>
      </w:r>
      <w:r w:rsidRPr="00EE0E3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E0E3C">
        <w:rPr>
          <w:rFonts w:ascii="Times New Roman" w:hAnsi="Times New Roman" w:cs="Times New Roman"/>
          <w:sz w:val="24"/>
          <w:szCs w:val="24"/>
        </w:rPr>
        <w:t xml:space="preserve">- 1971 от 29.10.2009г. (изменение и допълнение) и може да </w:t>
      </w:r>
      <w:r w:rsidRPr="00EE0E3C">
        <w:rPr>
          <w:rFonts w:ascii="Times New Roman" w:hAnsi="Times New Roman" w:cs="Times New Roman"/>
          <w:b/>
          <w:sz w:val="24"/>
          <w:szCs w:val="24"/>
        </w:rPr>
        <w:t>бъде реализирана в обхвата  на</w:t>
      </w:r>
      <w:r w:rsidRPr="00EE0E3C">
        <w:rPr>
          <w:rFonts w:ascii="Times New Roman" w:hAnsi="Times New Roman" w:cs="Times New Roman"/>
          <w:sz w:val="24"/>
          <w:szCs w:val="24"/>
        </w:rPr>
        <w:t xml:space="preserve"> </w:t>
      </w:r>
      <w:r w:rsidRPr="00EE0E3C">
        <w:rPr>
          <w:rFonts w:ascii="Times New Roman" w:hAnsi="Times New Roman" w:cs="Times New Roman"/>
          <w:b/>
          <w:sz w:val="24"/>
          <w:szCs w:val="24"/>
        </w:rPr>
        <w:t>предвиденото саниране,</w:t>
      </w:r>
      <w:r w:rsidRPr="00EE0E3C">
        <w:rPr>
          <w:rFonts w:ascii="Times New Roman" w:hAnsi="Times New Roman" w:cs="Times New Roman"/>
          <w:sz w:val="24"/>
          <w:szCs w:val="24"/>
        </w:rPr>
        <w:t xml:space="preserve"> изложено в общата част на разработката. </w:t>
      </w: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Дата:</w:t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  <w:t>Разработил:</w:t>
      </w:r>
    </w:p>
    <w:p w:rsidR="00D56792" w:rsidRPr="00EE0E3C" w:rsidRDefault="00D56792" w:rsidP="00D567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E3C">
        <w:rPr>
          <w:rFonts w:ascii="Times New Roman" w:hAnsi="Times New Roman" w:cs="Times New Roman"/>
          <w:sz w:val="24"/>
          <w:szCs w:val="24"/>
        </w:rPr>
        <w:t>2016г.</w:t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</w:r>
      <w:r w:rsidRPr="00EE0E3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/инж.В. Иванов/</w:t>
      </w:r>
    </w:p>
    <w:p w:rsidR="00DE4818" w:rsidRPr="00DE4818" w:rsidRDefault="00DE4818" w:rsidP="002F73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DE4818">
        <w:rPr>
          <w:rFonts w:ascii="Times New Roman" w:hAnsi="Times New Roman" w:cs="Times New Roman"/>
          <w:sz w:val="24"/>
          <w:szCs w:val="24"/>
          <w:lang w:eastAsia="bg-BG"/>
        </w:rPr>
        <w:tab/>
      </w: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E4818" w:rsidRPr="00DE4818" w:rsidRDefault="00DE4818" w:rsidP="00DE48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sectPr w:rsidR="00DE4818" w:rsidRPr="00DE4818" w:rsidSect="006D2C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17" w:rsidRDefault="00054317">
      <w:pPr>
        <w:spacing w:after="0" w:line="240" w:lineRule="auto"/>
      </w:pPr>
      <w:r>
        <w:separator/>
      </w:r>
    </w:p>
  </w:endnote>
  <w:endnote w:type="continuationSeparator" w:id="0">
    <w:p w:rsidR="00054317" w:rsidRDefault="00054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altName w:val="Segoe UI"/>
    <w:charset w:val="CC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77" w:rsidRDefault="0005431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77" w:rsidRDefault="0005431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77" w:rsidRDefault="000543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17" w:rsidRDefault="00054317">
      <w:pPr>
        <w:spacing w:after="0" w:line="240" w:lineRule="auto"/>
      </w:pPr>
      <w:r>
        <w:separator/>
      </w:r>
    </w:p>
  </w:footnote>
  <w:footnote w:type="continuationSeparator" w:id="0">
    <w:p w:rsidR="00054317" w:rsidRDefault="00054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77" w:rsidRDefault="000543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4200599"/>
      <w:docPartObj>
        <w:docPartGallery w:val="Page Numbers (Top of Page)"/>
        <w:docPartUnique/>
      </w:docPartObj>
    </w:sdtPr>
    <w:sdtContent>
      <w:bookmarkStart w:id="9" w:name="_GoBack" w:displacedByCustomXml="prev"/>
      <w:bookmarkEnd w:id="9" w:displacedByCustomXml="prev"/>
      <w:p w:rsidR="00896A20" w:rsidRDefault="00896A2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563377" w:rsidRDefault="000543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377" w:rsidRDefault="000543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37B1"/>
    <w:multiLevelType w:val="multilevel"/>
    <w:tmpl w:val="7AA2FA4A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E879F7"/>
    <w:multiLevelType w:val="multilevel"/>
    <w:tmpl w:val="9E12A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277BD"/>
    <w:multiLevelType w:val="multilevel"/>
    <w:tmpl w:val="9D740504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5741C"/>
    <w:multiLevelType w:val="multilevel"/>
    <w:tmpl w:val="C1DC9A2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1080" w:hanging="720"/>
      </w:pPr>
      <w:rPr>
        <w:rFonts w:ascii="Century Gothic" w:eastAsia="Tahoma" w:hAnsi="Century Gothic"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FD26196"/>
    <w:multiLevelType w:val="hybridMultilevel"/>
    <w:tmpl w:val="E3A6DF18"/>
    <w:lvl w:ilvl="0" w:tplc="4ED81446">
      <w:start w:val="1"/>
      <w:numFmt w:val="bullet"/>
      <w:lvlText w:val=""/>
      <w:lvlJc w:val="left"/>
      <w:pPr>
        <w:ind w:left="1628" w:hanging="349"/>
      </w:pPr>
      <w:rPr>
        <w:rFonts w:ascii="Symbol" w:eastAsia="Symbol" w:hAnsi="Symbol" w:hint="default"/>
        <w:w w:val="99"/>
        <w:sz w:val="24"/>
        <w:szCs w:val="24"/>
      </w:rPr>
    </w:lvl>
    <w:lvl w:ilvl="1" w:tplc="36967B30">
      <w:start w:val="1"/>
      <w:numFmt w:val="bullet"/>
      <w:lvlText w:val=""/>
      <w:lvlJc w:val="left"/>
      <w:pPr>
        <w:ind w:left="2336" w:hanging="325"/>
      </w:pPr>
      <w:rPr>
        <w:rFonts w:ascii="Wingdings" w:eastAsia="Wingdings" w:hAnsi="Wingdings" w:hint="default"/>
        <w:w w:val="99"/>
        <w:sz w:val="24"/>
        <w:szCs w:val="24"/>
      </w:rPr>
    </w:lvl>
    <w:lvl w:ilvl="2" w:tplc="87CE4CB4">
      <w:start w:val="1"/>
      <w:numFmt w:val="bullet"/>
      <w:lvlText w:val="•"/>
      <w:lvlJc w:val="left"/>
      <w:pPr>
        <w:ind w:left="3258" w:hanging="325"/>
      </w:pPr>
      <w:rPr>
        <w:rFonts w:hint="default"/>
      </w:rPr>
    </w:lvl>
    <w:lvl w:ilvl="3" w:tplc="2B70D76C">
      <w:start w:val="1"/>
      <w:numFmt w:val="bullet"/>
      <w:lvlText w:val="•"/>
      <w:lvlJc w:val="left"/>
      <w:pPr>
        <w:ind w:left="4181" w:hanging="325"/>
      </w:pPr>
      <w:rPr>
        <w:rFonts w:hint="default"/>
      </w:rPr>
    </w:lvl>
    <w:lvl w:ilvl="4" w:tplc="DFAC89BA">
      <w:start w:val="1"/>
      <w:numFmt w:val="bullet"/>
      <w:lvlText w:val="•"/>
      <w:lvlJc w:val="left"/>
      <w:pPr>
        <w:ind w:left="5104" w:hanging="325"/>
      </w:pPr>
      <w:rPr>
        <w:rFonts w:hint="default"/>
      </w:rPr>
    </w:lvl>
    <w:lvl w:ilvl="5" w:tplc="18D04CC2">
      <w:start w:val="1"/>
      <w:numFmt w:val="bullet"/>
      <w:lvlText w:val="•"/>
      <w:lvlJc w:val="left"/>
      <w:pPr>
        <w:ind w:left="6026" w:hanging="325"/>
      </w:pPr>
      <w:rPr>
        <w:rFonts w:hint="default"/>
      </w:rPr>
    </w:lvl>
    <w:lvl w:ilvl="6" w:tplc="295E657E">
      <w:start w:val="1"/>
      <w:numFmt w:val="bullet"/>
      <w:lvlText w:val="•"/>
      <w:lvlJc w:val="left"/>
      <w:pPr>
        <w:ind w:left="6949" w:hanging="325"/>
      </w:pPr>
      <w:rPr>
        <w:rFonts w:hint="default"/>
      </w:rPr>
    </w:lvl>
    <w:lvl w:ilvl="7" w:tplc="0628A608">
      <w:start w:val="1"/>
      <w:numFmt w:val="bullet"/>
      <w:lvlText w:val="•"/>
      <w:lvlJc w:val="left"/>
      <w:pPr>
        <w:ind w:left="7872" w:hanging="325"/>
      </w:pPr>
      <w:rPr>
        <w:rFonts w:hint="default"/>
      </w:rPr>
    </w:lvl>
    <w:lvl w:ilvl="8" w:tplc="FB3CB2CA">
      <w:start w:val="1"/>
      <w:numFmt w:val="bullet"/>
      <w:lvlText w:val="•"/>
      <w:lvlJc w:val="left"/>
      <w:pPr>
        <w:ind w:left="8794" w:hanging="325"/>
      </w:pPr>
      <w:rPr>
        <w:rFonts w:hint="default"/>
      </w:rPr>
    </w:lvl>
  </w:abstractNum>
  <w:abstractNum w:abstractNumId="5">
    <w:nsid w:val="29864609"/>
    <w:multiLevelType w:val="hybridMultilevel"/>
    <w:tmpl w:val="1E4E1F82"/>
    <w:lvl w:ilvl="0" w:tplc="7FA202FE">
      <w:start w:val="1"/>
      <w:numFmt w:val="bullet"/>
      <w:lvlText w:val="-"/>
      <w:lvlJc w:val="left"/>
      <w:pPr>
        <w:ind w:left="720" w:hanging="360"/>
      </w:pPr>
      <w:rPr>
        <w:rFonts w:ascii="Century Gothic" w:eastAsia="Tahoma" w:hAnsi="Century Gothic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0166B"/>
    <w:multiLevelType w:val="multilevel"/>
    <w:tmpl w:val="70388D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D64BB0"/>
    <w:multiLevelType w:val="hybridMultilevel"/>
    <w:tmpl w:val="DC9CFB94"/>
    <w:lvl w:ilvl="0" w:tplc="CCFED970">
      <w:start w:val="1"/>
      <w:numFmt w:val="decimal"/>
      <w:lvlText w:val="%1"/>
      <w:lvlJc w:val="left"/>
      <w:pPr>
        <w:ind w:left="720" w:hanging="360"/>
      </w:pPr>
      <w:rPr>
        <w:rFonts w:ascii="TimesNewRomanPS-BoldItalicMT" w:eastAsiaTheme="minorHAnsi" w:hAnsi="TimesNewRomanPS-BoldItalicMT" w:cs="TimesNewRomanPS-BoldItalicM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6E34AB"/>
    <w:multiLevelType w:val="multilevel"/>
    <w:tmpl w:val="86A020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7E1DA3"/>
    <w:multiLevelType w:val="hybridMultilevel"/>
    <w:tmpl w:val="6616EE58"/>
    <w:lvl w:ilvl="0" w:tplc="53D4661C">
      <w:start w:val="1"/>
      <w:numFmt w:val="bullet"/>
      <w:lvlText w:val=""/>
      <w:lvlJc w:val="left"/>
      <w:pPr>
        <w:ind w:left="1640" w:hanging="349"/>
      </w:pPr>
      <w:rPr>
        <w:rFonts w:ascii="Wingdings" w:eastAsia="Wingdings" w:hAnsi="Wingdings" w:hint="default"/>
        <w:w w:val="99"/>
        <w:sz w:val="24"/>
        <w:szCs w:val="24"/>
      </w:rPr>
    </w:lvl>
    <w:lvl w:ilvl="1" w:tplc="B3C04754">
      <w:start w:val="1"/>
      <w:numFmt w:val="bullet"/>
      <w:lvlText w:val="•"/>
      <w:lvlJc w:val="left"/>
      <w:pPr>
        <w:ind w:left="2540" w:hanging="349"/>
      </w:pPr>
      <w:rPr>
        <w:rFonts w:hint="default"/>
      </w:rPr>
    </w:lvl>
    <w:lvl w:ilvl="2" w:tplc="D812D89C">
      <w:start w:val="1"/>
      <w:numFmt w:val="bullet"/>
      <w:lvlText w:val="•"/>
      <w:lvlJc w:val="left"/>
      <w:pPr>
        <w:ind w:left="3440" w:hanging="349"/>
      </w:pPr>
      <w:rPr>
        <w:rFonts w:hint="default"/>
      </w:rPr>
    </w:lvl>
    <w:lvl w:ilvl="3" w:tplc="9AFA17C2">
      <w:start w:val="1"/>
      <w:numFmt w:val="bullet"/>
      <w:lvlText w:val="•"/>
      <w:lvlJc w:val="left"/>
      <w:pPr>
        <w:ind w:left="4340" w:hanging="349"/>
      </w:pPr>
      <w:rPr>
        <w:rFonts w:hint="default"/>
      </w:rPr>
    </w:lvl>
    <w:lvl w:ilvl="4" w:tplc="B19C2344">
      <w:start w:val="1"/>
      <w:numFmt w:val="bullet"/>
      <w:lvlText w:val="•"/>
      <w:lvlJc w:val="left"/>
      <w:pPr>
        <w:ind w:left="5240" w:hanging="349"/>
      </w:pPr>
      <w:rPr>
        <w:rFonts w:hint="default"/>
      </w:rPr>
    </w:lvl>
    <w:lvl w:ilvl="5" w:tplc="3E2C9E8E">
      <w:start w:val="1"/>
      <w:numFmt w:val="bullet"/>
      <w:lvlText w:val="•"/>
      <w:lvlJc w:val="left"/>
      <w:pPr>
        <w:ind w:left="6140" w:hanging="349"/>
      </w:pPr>
      <w:rPr>
        <w:rFonts w:hint="default"/>
      </w:rPr>
    </w:lvl>
    <w:lvl w:ilvl="6" w:tplc="317A7F3E">
      <w:start w:val="1"/>
      <w:numFmt w:val="bullet"/>
      <w:lvlText w:val="•"/>
      <w:lvlJc w:val="left"/>
      <w:pPr>
        <w:ind w:left="7040" w:hanging="349"/>
      </w:pPr>
      <w:rPr>
        <w:rFonts w:hint="default"/>
      </w:rPr>
    </w:lvl>
    <w:lvl w:ilvl="7" w:tplc="0A2C98AC">
      <w:start w:val="1"/>
      <w:numFmt w:val="bullet"/>
      <w:lvlText w:val="•"/>
      <w:lvlJc w:val="left"/>
      <w:pPr>
        <w:ind w:left="7940" w:hanging="349"/>
      </w:pPr>
      <w:rPr>
        <w:rFonts w:hint="default"/>
      </w:rPr>
    </w:lvl>
    <w:lvl w:ilvl="8" w:tplc="673E0C6E">
      <w:start w:val="1"/>
      <w:numFmt w:val="bullet"/>
      <w:lvlText w:val="•"/>
      <w:lvlJc w:val="left"/>
      <w:pPr>
        <w:ind w:left="8840" w:hanging="349"/>
      </w:pPr>
      <w:rPr>
        <w:rFonts w:hint="default"/>
      </w:rPr>
    </w:lvl>
  </w:abstractNum>
  <w:abstractNum w:abstractNumId="10">
    <w:nsid w:val="432E03DC"/>
    <w:multiLevelType w:val="hybridMultilevel"/>
    <w:tmpl w:val="7856DBC8"/>
    <w:lvl w:ilvl="0" w:tplc="0402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1">
    <w:nsid w:val="53F066A6"/>
    <w:multiLevelType w:val="hybridMultilevel"/>
    <w:tmpl w:val="50E61E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D4DB9"/>
    <w:multiLevelType w:val="hybridMultilevel"/>
    <w:tmpl w:val="394C9C8C"/>
    <w:lvl w:ilvl="0" w:tplc="7FA202FE">
      <w:start w:val="1"/>
      <w:numFmt w:val="bullet"/>
      <w:lvlText w:val="-"/>
      <w:lvlJc w:val="left"/>
      <w:pPr>
        <w:ind w:left="720" w:hanging="360"/>
      </w:pPr>
      <w:rPr>
        <w:rFonts w:ascii="Century Gothic" w:eastAsia="Tahoma" w:hAnsi="Century Gothic" w:cs="Tahom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687771"/>
    <w:multiLevelType w:val="multilevel"/>
    <w:tmpl w:val="FB88550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1C27DF"/>
    <w:multiLevelType w:val="multilevel"/>
    <w:tmpl w:val="743C95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3"/>
  </w:num>
  <w:num w:numId="6">
    <w:abstractNumId w:val="11"/>
  </w:num>
  <w:num w:numId="7">
    <w:abstractNumId w:val="12"/>
  </w:num>
  <w:num w:numId="8">
    <w:abstractNumId w:val="10"/>
  </w:num>
  <w:num w:numId="9">
    <w:abstractNumId w:val="5"/>
  </w:num>
  <w:num w:numId="10">
    <w:abstractNumId w:val="4"/>
  </w:num>
  <w:num w:numId="11">
    <w:abstractNumId w:val="9"/>
  </w:num>
  <w:num w:numId="12">
    <w:abstractNumId w:val="1"/>
  </w:num>
  <w:num w:numId="13">
    <w:abstractNumId w:val="14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E3C"/>
    <w:rsid w:val="00054317"/>
    <w:rsid w:val="001C5D45"/>
    <w:rsid w:val="00214754"/>
    <w:rsid w:val="002F739D"/>
    <w:rsid w:val="003F6F37"/>
    <w:rsid w:val="004B05B7"/>
    <w:rsid w:val="005B01B0"/>
    <w:rsid w:val="007D18B0"/>
    <w:rsid w:val="00896A20"/>
    <w:rsid w:val="00A87800"/>
    <w:rsid w:val="00BA5F3F"/>
    <w:rsid w:val="00D56792"/>
    <w:rsid w:val="00DE4818"/>
    <w:rsid w:val="00E148BD"/>
    <w:rsid w:val="00EE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E3C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a4">
    <w:name w:val="Горен колонтитул Знак"/>
    <w:basedOn w:val="a0"/>
    <w:link w:val="a3"/>
    <w:uiPriority w:val="99"/>
    <w:rsid w:val="00EE0E3C"/>
  </w:style>
  <w:style w:type="paragraph" w:styleId="a5">
    <w:name w:val="footer"/>
    <w:basedOn w:val="a"/>
    <w:link w:val="a6"/>
    <w:uiPriority w:val="99"/>
    <w:unhideWhenUsed/>
    <w:rsid w:val="00EE0E3C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a6">
    <w:name w:val="Долен колонтитул Знак"/>
    <w:basedOn w:val="a0"/>
    <w:link w:val="a5"/>
    <w:uiPriority w:val="99"/>
    <w:rsid w:val="00EE0E3C"/>
  </w:style>
  <w:style w:type="paragraph" w:styleId="a7">
    <w:name w:val="Balloon Text"/>
    <w:basedOn w:val="a"/>
    <w:link w:val="a8"/>
    <w:uiPriority w:val="99"/>
    <w:semiHidden/>
    <w:unhideWhenUsed/>
    <w:rsid w:val="00EE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0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0E3C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a4">
    <w:name w:val="Горен колонтитул Знак"/>
    <w:basedOn w:val="a0"/>
    <w:link w:val="a3"/>
    <w:uiPriority w:val="99"/>
    <w:rsid w:val="00EE0E3C"/>
  </w:style>
  <w:style w:type="paragraph" w:styleId="a5">
    <w:name w:val="footer"/>
    <w:basedOn w:val="a"/>
    <w:link w:val="a6"/>
    <w:uiPriority w:val="99"/>
    <w:unhideWhenUsed/>
    <w:rsid w:val="00EE0E3C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a6">
    <w:name w:val="Долен колонтитул Знак"/>
    <w:basedOn w:val="a0"/>
    <w:link w:val="a5"/>
    <w:uiPriority w:val="99"/>
    <w:rsid w:val="00EE0E3C"/>
  </w:style>
  <w:style w:type="paragraph" w:styleId="a7">
    <w:name w:val="Balloon Text"/>
    <w:basedOn w:val="a"/>
    <w:link w:val="a8"/>
    <w:uiPriority w:val="99"/>
    <w:semiHidden/>
    <w:unhideWhenUsed/>
    <w:rsid w:val="00EE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0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3579</Words>
  <Characters>20405</Characters>
  <Application>Microsoft Office Word</Application>
  <DocSecurity>0</DocSecurity>
  <Lines>170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V.IVANOV</dc:creator>
  <cp:lastModifiedBy>V.IVANOV</cp:lastModifiedBy>
  <cp:revision>10</cp:revision>
  <dcterms:created xsi:type="dcterms:W3CDTF">2016-08-16T06:00:00Z</dcterms:created>
  <dcterms:modified xsi:type="dcterms:W3CDTF">2016-08-16T07:57:00Z</dcterms:modified>
</cp:coreProperties>
</file>